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7662" w14:textId="62CBBAEB" w:rsidR="0033325A" w:rsidRDefault="00DE67B5" w:rsidP="00B76E23">
      <w:pPr>
        <w:pStyle w:val="BodyText"/>
        <w:rPr>
          <w:rFonts w:ascii="Times New Roman"/>
        </w:rPr>
      </w:pPr>
      <w:r w:rsidRPr="006041A4">
        <w:rPr>
          <w:rFonts w:ascii="MyriadPro-Semibold" w:hAnsi="MyriadPro-Semibold" w:cs="MyriadPro-Semibold"/>
          <w:b/>
          <w:noProof/>
          <w:color w:val="B12D24"/>
          <w:sz w:val="18"/>
          <w:szCs w:val="20"/>
          <w:lang w:val="en-IE" w:eastAsia="en-IE"/>
        </w:rPr>
        <w:drawing>
          <wp:anchor distT="0" distB="0" distL="114300" distR="114300" simplePos="0" relativeHeight="251659264" behindDoc="1" locked="0" layoutInCell="1" allowOverlap="1" wp14:anchorId="206EF1AA" wp14:editId="197FDF94">
            <wp:simplePos x="0" y="0"/>
            <wp:positionH relativeFrom="margin">
              <wp:posOffset>4772025</wp:posOffset>
            </wp:positionH>
            <wp:positionV relativeFrom="margin">
              <wp:posOffset>-525780</wp:posOffset>
            </wp:positionV>
            <wp:extent cx="1762125" cy="857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67663" w14:textId="72F8D0DD" w:rsidR="0033325A" w:rsidRDefault="0033325A" w:rsidP="00B76E23">
      <w:pPr>
        <w:pStyle w:val="BodyText"/>
        <w:rPr>
          <w:rFonts w:ascii="Times New Roman"/>
        </w:rPr>
      </w:pPr>
    </w:p>
    <w:p w14:paraId="04D67666" w14:textId="0D41B710" w:rsidR="0033325A" w:rsidRPr="00AA18D6" w:rsidRDefault="00AA18D6" w:rsidP="00B76E23">
      <w:pPr>
        <w:pStyle w:val="BodyText"/>
        <w:rPr>
          <w:b/>
          <w:bCs/>
          <w:sz w:val="36"/>
          <w:szCs w:val="36"/>
        </w:rPr>
      </w:pPr>
      <w:r w:rsidRPr="00AA18D6">
        <w:rPr>
          <w:b/>
          <w:bCs/>
          <w:sz w:val="36"/>
          <w:szCs w:val="36"/>
        </w:rPr>
        <w:t>Fundraising Strategy Summary</w:t>
      </w:r>
    </w:p>
    <w:p w14:paraId="04D67675" w14:textId="77777777" w:rsidR="0033325A" w:rsidRDefault="0033325A" w:rsidP="00B76E23">
      <w:pPr>
        <w:pStyle w:val="BodyText"/>
        <w:rPr>
          <w:rFonts w:ascii="Times New Roman"/>
        </w:rPr>
      </w:pPr>
    </w:p>
    <w:p w14:paraId="324BD7C2" w14:textId="70264A51" w:rsidR="00DE67B5" w:rsidRPr="00513A03" w:rsidRDefault="00DE67B5" w:rsidP="00DE67B5">
      <w:pPr>
        <w:rPr>
          <w:b/>
          <w:bCs/>
          <w:color w:val="C00000"/>
          <w:sz w:val="24"/>
          <w:szCs w:val="24"/>
        </w:rPr>
      </w:pPr>
      <w:r w:rsidRPr="00513A03">
        <w:rPr>
          <w:b/>
          <w:bCs/>
          <w:color w:val="C00000"/>
          <w:sz w:val="24"/>
          <w:szCs w:val="24"/>
        </w:rPr>
        <w:t xml:space="preserve">Fundraising Vision Statement </w:t>
      </w:r>
    </w:p>
    <w:p w14:paraId="22A0F988" w14:textId="77777777" w:rsidR="00DE67B5" w:rsidRDefault="00DE67B5" w:rsidP="00DE67B5">
      <w:pPr>
        <w:rPr>
          <w:sz w:val="24"/>
          <w:szCs w:val="24"/>
        </w:rPr>
      </w:pPr>
      <w:r>
        <w:rPr>
          <w:i/>
          <w:iCs/>
          <w:sz w:val="24"/>
          <w:szCs w:val="24"/>
        </w:rPr>
        <w:t>To enhance the delivery of optimum services for patients and families through skilled, transparent and ethical fundraising</w:t>
      </w:r>
      <w:r>
        <w:rPr>
          <w:sz w:val="24"/>
          <w:szCs w:val="24"/>
        </w:rPr>
        <w:t>.</w:t>
      </w:r>
    </w:p>
    <w:p w14:paraId="2FBE4AE4" w14:textId="77777777" w:rsidR="00DE67B5" w:rsidRDefault="00DE67B5" w:rsidP="00DE67B5">
      <w:pPr>
        <w:pStyle w:val="BodyText"/>
        <w:ind w:right="716"/>
        <w:rPr>
          <w:b/>
          <w:bCs/>
          <w:color w:val="1F1F1F"/>
        </w:rPr>
      </w:pPr>
    </w:p>
    <w:p w14:paraId="51272603" w14:textId="3317B66D" w:rsidR="00B76E23" w:rsidRPr="00513A03" w:rsidRDefault="00B76E23" w:rsidP="00DE67B5">
      <w:pPr>
        <w:pStyle w:val="BodyText"/>
        <w:ind w:right="716"/>
        <w:rPr>
          <w:b/>
          <w:bCs/>
          <w:color w:val="C00000"/>
        </w:rPr>
      </w:pPr>
      <w:r w:rsidRPr="00513A03">
        <w:rPr>
          <w:b/>
          <w:bCs/>
          <w:color w:val="C00000"/>
        </w:rPr>
        <w:t>1.0</w:t>
      </w:r>
      <w:r w:rsidRPr="00513A03">
        <w:rPr>
          <w:b/>
          <w:bCs/>
          <w:color w:val="C00000"/>
        </w:rPr>
        <w:tab/>
        <w:t>Overview</w:t>
      </w:r>
    </w:p>
    <w:p w14:paraId="0ECD7233" w14:textId="77777777" w:rsidR="009F2FDE" w:rsidRDefault="009F2FDE" w:rsidP="009F2FDE">
      <w:pPr>
        <w:pStyle w:val="BodyText"/>
        <w:ind w:right="716"/>
      </w:pPr>
      <w:r>
        <w:rPr>
          <w:b/>
          <w:color w:val="1F1F1F"/>
        </w:rPr>
        <w:t>Marymount is</w:t>
      </w:r>
      <w:r>
        <w:rPr>
          <w:b/>
          <w:color w:val="1F1F1F"/>
          <w:spacing w:val="-9"/>
        </w:rPr>
        <w:t xml:space="preserve"> </w:t>
      </w:r>
      <w:r>
        <w:rPr>
          <w:b/>
          <w:color w:val="1F1F1F"/>
        </w:rPr>
        <w:t>not</w:t>
      </w:r>
      <w:r>
        <w:rPr>
          <w:b/>
          <w:color w:val="1F1F1F"/>
          <w:spacing w:val="-12"/>
        </w:rPr>
        <w:t xml:space="preserve"> </w:t>
      </w:r>
      <w:r>
        <w:rPr>
          <w:b/>
          <w:color w:val="1F1F1F"/>
        </w:rPr>
        <w:t>fully</w:t>
      </w:r>
      <w:r>
        <w:rPr>
          <w:b/>
          <w:color w:val="1F1F1F"/>
          <w:spacing w:val="-9"/>
        </w:rPr>
        <w:t xml:space="preserve"> </w:t>
      </w:r>
      <w:r>
        <w:rPr>
          <w:b/>
          <w:color w:val="1F1F1F"/>
        </w:rPr>
        <w:t>funded</w:t>
      </w:r>
      <w:r>
        <w:rPr>
          <w:b/>
          <w:color w:val="1F1F1F"/>
          <w:spacing w:val="-10"/>
        </w:rPr>
        <w:t xml:space="preserve"> </w:t>
      </w:r>
      <w:r>
        <w:rPr>
          <w:b/>
          <w:color w:val="1F1F1F"/>
        </w:rPr>
        <w:t>and</w:t>
      </w:r>
      <w:r>
        <w:rPr>
          <w:b/>
          <w:color w:val="1F1F1F"/>
          <w:spacing w:val="-10"/>
        </w:rPr>
        <w:t xml:space="preserve"> </w:t>
      </w:r>
      <w:r>
        <w:rPr>
          <w:b/>
          <w:color w:val="1F1F1F"/>
        </w:rPr>
        <w:t>our</w:t>
      </w:r>
      <w:r>
        <w:rPr>
          <w:b/>
          <w:color w:val="1F1F1F"/>
          <w:spacing w:val="-10"/>
        </w:rPr>
        <w:t xml:space="preserve"> </w:t>
      </w:r>
      <w:r>
        <w:rPr>
          <w:b/>
          <w:color w:val="1F1F1F"/>
        </w:rPr>
        <w:t>fundraising</w:t>
      </w:r>
      <w:r>
        <w:rPr>
          <w:b/>
          <w:color w:val="1F1F1F"/>
          <w:spacing w:val="-12"/>
        </w:rPr>
        <w:t xml:space="preserve"> </w:t>
      </w:r>
      <w:r>
        <w:rPr>
          <w:b/>
          <w:color w:val="1F1F1F"/>
        </w:rPr>
        <w:t>eﬀorts</w:t>
      </w:r>
      <w:r>
        <w:rPr>
          <w:b/>
          <w:color w:val="1F1F1F"/>
          <w:spacing w:val="-10"/>
        </w:rPr>
        <w:t xml:space="preserve"> </w:t>
      </w:r>
      <w:r>
        <w:rPr>
          <w:b/>
          <w:color w:val="1F1F1F"/>
        </w:rPr>
        <w:t>remain</w:t>
      </w:r>
      <w:r>
        <w:rPr>
          <w:b/>
          <w:color w:val="1F1F1F"/>
          <w:spacing w:val="-10"/>
        </w:rPr>
        <w:t xml:space="preserve"> </w:t>
      </w:r>
      <w:r>
        <w:rPr>
          <w:b/>
          <w:color w:val="1F1F1F"/>
        </w:rPr>
        <w:t>crucial</w:t>
      </w:r>
      <w:r>
        <w:rPr>
          <w:b/>
          <w:color w:val="1F1F1F"/>
          <w:spacing w:val="-10"/>
        </w:rPr>
        <w:t xml:space="preserve"> </w:t>
      </w:r>
      <w:r>
        <w:rPr>
          <w:color w:val="1F1F1F"/>
        </w:rPr>
        <w:t>for</w:t>
      </w:r>
      <w:r>
        <w:rPr>
          <w:color w:val="1F1F1F"/>
          <w:spacing w:val="-13"/>
        </w:rPr>
        <w:t xml:space="preserve"> </w:t>
      </w:r>
      <w:r>
        <w:rPr>
          <w:color w:val="1F1F1F"/>
        </w:rPr>
        <w:t>us</w:t>
      </w:r>
      <w:r>
        <w:rPr>
          <w:color w:val="1F1F1F"/>
          <w:spacing w:val="-11"/>
        </w:rPr>
        <w:t xml:space="preserve"> </w:t>
      </w:r>
      <w:r>
        <w:rPr>
          <w:color w:val="1F1F1F"/>
        </w:rPr>
        <w:t>to</w:t>
      </w:r>
      <w:r>
        <w:rPr>
          <w:color w:val="1F1F1F"/>
          <w:spacing w:val="-13"/>
        </w:rPr>
        <w:t xml:space="preserve"> </w:t>
      </w:r>
      <w:r>
        <w:rPr>
          <w:color w:val="1F1F1F"/>
        </w:rPr>
        <w:t>provide</w:t>
      </w:r>
      <w:r>
        <w:rPr>
          <w:color w:val="1F1F1F"/>
          <w:spacing w:val="-8"/>
        </w:rPr>
        <w:t xml:space="preserve"> </w:t>
      </w:r>
      <w:r>
        <w:rPr>
          <w:color w:val="1F1F1F"/>
        </w:rPr>
        <w:t>the</w:t>
      </w:r>
      <w:r>
        <w:rPr>
          <w:color w:val="1F1F1F"/>
          <w:spacing w:val="-10"/>
        </w:rPr>
        <w:t xml:space="preserve"> </w:t>
      </w:r>
      <w:r>
        <w:rPr>
          <w:color w:val="1F1F1F"/>
        </w:rPr>
        <w:t>best possible patient care.</w:t>
      </w:r>
    </w:p>
    <w:p w14:paraId="2E0A3CE8" w14:textId="76B10C9C" w:rsidR="009F2FDE" w:rsidRDefault="009F2FDE" w:rsidP="00DE67B5">
      <w:pPr>
        <w:pStyle w:val="BodyText"/>
        <w:ind w:right="716"/>
        <w:rPr>
          <w:color w:val="1F1F1F"/>
        </w:rPr>
      </w:pPr>
      <w:r>
        <w:rPr>
          <w:color w:val="1F1F1F"/>
        </w:rPr>
        <w:t>We are</w:t>
      </w:r>
      <w:r w:rsidR="00ED2073">
        <w:rPr>
          <w:color w:val="1F1F1F"/>
        </w:rPr>
        <w:t xml:space="preserve"> in a more</w:t>
      </w:r>
      <w:r>
        <w:rPr>
          <w:color w:val="1F1F1F"/>
        </w:rPr>
        <w:t xml:space="preserve"> financially</w:t>
      </w:r>
      <w:r w:rsidR="00ED2073">
        <w:rPr>
          <w:color w:val="1F1F1F"/>
        </w:rPr>
        <w:t xml:space="preserve"> secure place </w:t>
      </w:r>
      <w:r>
        <w:rPr>
          <w:color w:val="1F1F1F"/>
        </w:rPr>
        <w:t>s</w:t>
      </w:r>
      <w:r w:rsidR="00B76E23">
        <w:rPr>
          <w:color w:val="1F1F1F"/>
        </w:rPr>
        <w:t>ince 2024, g</w:t>
      </w:r>
      <w:r w:rsidR="00ED2073">
        <w:rPr>
          <w:color w:val="1F1F1F"/>
        </w:rPr>
        <w:t>overnment</w:t>
      </w:r>
      <w:r w:rsidR="00ED2073">
        <w:rPr>
          <w:color w:val="1F1F1F"/>
          <w:spacing w:val="-1"/>
        </w:rPr>
        <w:t xml:space="preserve"> </w:t>
      </w:r>
      <w:r w:rsidR="00ED2073">
        <w:rPr>
          <w:color w:val="1F1F1F"/>
        </w:rPr>
        <w:t xml:space="preserve">and HSE cover </w:t>
      </w:r>
      <w:r>
        <w:rPr>
          <w:color w:val="1F1F1F"/>
        </w:rPr>
        <w:t xml:space="preserve">a high proportion of </w:t>
      </w:r>
      <w:r w:rsidR="00ED2073">
        <w:rPr>
          <w:color w:val="1F1F1F"/>
        </w:rPr>
        <w:t>core costs, which include most staﬀ</w:t>
      </w:r>
      <w:r w:rsidR="00ED2073">
        <w:rPr>
          <w:color w:val="1F1F1F"/>
          <w:spacing w:val="-2"/>
        </w:rPr>
        <w:t xml:space="preserve"> </w:t>
      </w:r>
      <w:r w:rsidR="00ED2073">
        <w:rPr>
          <w:color w:val="1F1F1F"/>
        </w:rPr>
        <w:t>(within a</w:t>
      </w:r>
      <w:r w:rsidR="00ED2073">
        <w:rPr>
          <w:color w:val="1F1F1F"/>
          <w:spacing w:val="-2"/>
        </w:rPr>
        <w:t xml:space="preserve"> </w:t>
      </w:r>
      <w:r w:rsidR="00B76E23">
        <w:rPr>
          <w:color w:val="1F1F1F"/>
          <w:spacing w:val="-2"/>
        </w:rPr>
        <w:t xml:space="preserve">strictly </w:t>
      </w:r>
      <w:r w:rsidR="00ED2073">
        <w:rPr>
          <w:color w:val="1F1F1F"/>
        </w:rPr>
        <w:t>deﬁned limit)</w:t>
      </w:r>
      <w:r w:rsidR="00ED2073">
        <w:rPr>
          <w:color w:val="1F1F1F"/>
          <w:spacing w:val="-2"/>
        </w:rPr>
        <w:t xml:space="preserve"> </w:t>
      </w:r>
      <w:r w:rsidR="00ED2073">
        <w:rPr>
          <w:color w:val="1F1F1F"/>
        </w:rPr>
        <w:t>and</w:t>
      </w:r>
      <w:r w:rsidR="00ED2073">
        <w:rPr>
          <w:color w:val="1F1F1F"/>
          <w:spacing w:val="-2"/>
        </w:rPr>
        <w:t xml:space="preserve"> </w:t>
      </w:r>
      <w:r w:rsidR="00ED2073">
        <w:rPr>
          <w:color w:val="1F1F1F"/>
        </w:rPr>
        <w:t>essential</w:t>
      </w:r>
      <w:r w:rsidR="00ED2073">
        <w:rPr>
          <w:color w:val="1F1F1F"/>
          <w:spacing w:val="-2"/>
        </w:rPr>
        <w:t xml:space="preserve"> </w:t>
      </w:r>
      <w:r w:rsidR="00ED2073">
        <w:rPr>
          <w:color w:val="1F1F1F"/>
        </w:rPr>
        <w:t>operating</w:t>
      </w:r>
      <w:r w:rsidR="00ED2073">
        <w:rPr>
          <w:color w:val="1F1F1F"/>
          <w:spacing w:val="-1"/>
        </w:rPr>
        <w:t xml:space="preserve"> </w:t>
      </w:r>
      <w:r w:rsidR="00ED2073">
        <w:rPr>
          <w:color w:val="1F1F1F"/>
        </w:rPr>
        <w:t>expenses</w:t>
      </w:r>
      <w:r w:rsidR="00ED2073">
        <w:rPr>
          <w:color w:val="1F1F1F"/>
          <w:spacing w:val="-2"/>
        </w:rPr>
        <w:t xml:space="preserve"> </w:t>
      </w:r>
      <w:r w:rsidR="00ED2073">
        <w:rPr>
          <w:color w:val="1F1F1F"/>
        </w:rPr>
        <w:t>like</w:t>
      </w:r>
      <w:r w:rsidR="00ED2073">
        <w:rPr>
          <w:color w:val="1F1F1F"/>
          <w:spacing w:val="-2"/>
        </w:rPr>
        <w:t xml:space="preserve"> </w:t>
      </w:r>
      <w:r w:rsidR="00ED2073">
        <w:rPr>
          <w:color w:val="1F1F1F"/>
        </w:rPr>
        <w:t>utilities,</w:t>
      </w:r>
      <w:r w:rsidR="00ED2073">
        <w:rPr>
          <w:color w:val="1F1F1F"/>
          <w:spacing w:val="-1"/>
        </w:rPr>
        <w:t xml:space="preserve"> </w:t>
      </w:r>
      <w:r w:rsidR="00ED2073">
        <w:rPr>
          <w:color w:val="1F1F1F"/>
        </w:rPr>
        <w:t>medication,</w:t>
      </w:r>
      <w:r w:rsidR="00ED2073">
        <w:rPr>
          <w:color w:val="1F1F1F"/>
          <w:spacing w:val="-2"/>
        </w:rPr>
        <w:t xml:space="preserve"> </w:t>
      </w:r>
      <w:r w:rsidR="00ED2073">
        <w:rPr>
          <w:color w:val="1F1F1F"/>
        </w:rPr>
        <w:t>and</w:t>
      </w:r>
      <w:r w:rsidR="00ED2073">
        <w:rPr>
          <w:color w:val="1F1F1F"/>
          <w:spacing w:val="-2"/>
        </w:rPr>
        <w:t xml:space="preserve"> </w:t>
      </w:r>
      <w:r w:rsidR="00ED2073">
        <w:rPr>
          <w:color w:val="1F1F1F"/>
        </w:rPr>
        <w:t>basic</w:t>
      </w:r>
      <w:r w:rsidR="00ED2073">
        <w:rPr>
          <w:color w:val="1F1F1F"/>
          <w:spacing w:val="-3"/>
        </w:rPr>
        <w:t xml:space="preserve"> </w:t>
      </w:r>
      <w:r w:rsidR="00ED2073">
        <w:rPr>
          <w:color w:val="1F1F1F"/>
        </w:rPr>
        <w:t xml:space="preserve">supplies. </w:t>
      </w:r>
    </w:p>
    <w:p w14:paraId="04D67677" w14:textId="77777777" w:rsidR="0033325A" w:rsidRDefault="0033325A" w:rsidP="00B76E23">
      <w:pPr>
        <w:pStyle w:val="BodyText"/>
      </w:pPr>
    </w:p>
    <w:p w14:paraId="04D67678" w14:textId="5963D1E2" w:rsidR="0033325A" w:rsidRDefault="00B76E23" w:rsidP="00DE67B5">
      <w:pPr>
        <w:pStyle w:val="BodyText"/>
        <w:ind w:right="715"/>
      </w:pPr>
      <w:r>
        <w:t xml:space="preserve">We </w:t>
      </w:r>
      <w:r w:rsidR="00ED2073">
        <w:t>receive</w:t>
      </w:r>
      <w:r w:rsidR="00ED2073">
        <w:rPr>
          <w:spacing w:val="-9"/>
        </w:rPr>
        <w:t xml:space="preserve"> </w:t>
      </w:r>
      <w:r w:rsidR="00ED2073">
        <w:t xml:space="preserve">no funding for Capital </w:t>
      </w:r>
      <w:r w:rsidR="003617EC">
        <w:t>Expenditure,</w:t>
      </w:r>
      <w:r w:rsidR="00ED2073">
        <w:t xml:space="preserve"> which is expected to run at </w:t>
      </w:r>
      <w:r>
        <w:t xml:space="preserve">a minimum of </w:t>
      </w:r>
      <w:r w:rsidR="00ED2073">
        <w:t>€</w:t>
      </w:r>
      <w:r w:rsidR="009F2FDE">
        <w:t>3</w:t>
      </w:r>
      <w:r w:rsidR="00ED2073">
        <w:t>m per annum for the foreseeable</w:t>
      </w:r>
      <w:r w:rsidR="00ED2073">
        <w:rPr>
          <w:spacing w:val="-2"/>
        </w:rPr>
        <w:t xml:space="preserve"> </w:t>
      </w:r>
      <w:r w:rsidR="00ED2073">
        <w:t>future.</w:t>
      </w:r>
      <w:r w:rsidR="00ED2073">
        <w:rPr>
          <w:spacing w:val="40"/>
        </w:rPr>
        <w:t xml:space="preserve"> </w:t>
      </w:r>
      <w:r w:rsidR="00ED2073">
        <w:t>Our</w:t>
      </w:r>
      <w:r w:rsidR="00ED2073">
        <w:rPr>
          <w:spacing w:val="-4"/>
        </w:rPr>
        <w:t xml:space="preserve"> </w:t>
      </w:r>
      <w:r w:rsidR="00ED2073">
        <w:t>capex</w:t>
      </w:r>
      <w:r w:rsidR="00ED2073">
        <w:rPr>
          <w:spacing w:val="-3"/>
        </w:rPr>
        <w:t xml:space="preserve"> </w:t>
      </w:r>
      <w:r w:rsidR="00ED2073">
        <w:t>is</w:t>
      </w:r>
      <w:r w:rsidR="00ED2073">
        <w:rPr>
          <w:spacing w:val="-2"/>
        </w:rPr>
        <w:t xml:space="preserve"> </w:t>
      </w:r>
      <w:r w:rsidR="00ED2073">
        <w:t>vital</w:t>
      </w:r>
      <w:r w:rsidR="00ED2073">
        <w:rPr>
          <w:spacing w:val="-2"/>
        </w:rPr>
        <w:t xml:space="preserve"> </w:t>
      </w:r>
      <w:r w:rsidR="00ED2073">
        <w:t>for</w:t>
      </w:r>
      <w:r w:rsidR="00ED2073">
        <w:rPr>
          <w:spacing w:val="-2"/>
        </w:rPr>
        <w:t xml:space="preserve"> </w:t>
      </w:r>
      <w:r w:rsidR="00ED2073">
        <w:t>upkeep</w:t>
      </w:r>
      <w:r w:rsidR="00ED2073">
        <w:rPr>
          <w:spacing w:val="-3"/>
        </w:rPr>
        <w:t xml:space="preserve"> </w:t>
      </w:r>
      <w:r w:rsidR="00ED2073">
        <w:t>of</w:t>
      </w:r>
      <w:r w:rsidR="00ED2073">
        <w:rPr>
          <w:spacing w:val="-1"/>
        </w:rPr>
        <w:t xml:space="preserve"> </w:t>
      </w:r>
      <w:r w:rsidR="00ED2073">
        <w:t>patient</w:t>
      </w:r>
      <w:r w:rsidR="00ED2073">
        <w:rPr>
          <w:spacing w:val="-6"/>
        </w:rPr>
        <w:t xml:space="preserve"> </w:t>
      </w:r>
      <w:r w:rsidR="00ED2073">
        <w:t>based</w:t>
      </w:r>
      <w:r w:rsidR="00ED2073">
        <w:rPr>
          <w:spacing w:val="-3"/>
        </w:rPr>
        <w:t xml:space="preserve"> </w:t>
      </w:r>
      <w:r w:rsidR="00ED2073">
        <w:t>essential</w:t>
      </w:r>
      <w:r w:rsidR="00ED2073">
        <w:rPr>
          <w:spacing w:val="-2"/>
        </w:rPr>
        <w:t xml:space="preserve"> </w:t>
      </w:r>
      <w:r w:rsidR="00ED2073">
        <w:t>facilities</w:t>
      </w:r>
      <w:r>
        <w:t xml:space="preserve"> and clinical equipment.</w:t>
      </w:r>
      <w:r w:rsidR="00ED2073">
        <w:rPr>
          <w:spacing w:val="-3"/>
        </w:rPr>
        <w:t xml:space="preserve"> </w:t>
      </w:r>
      <w:r w:rsidR="00ED2073">
        <w:t>It</w:t>
      </w:r>
      <w:r w:rsidR="00ED2073">
        <w:rPr>
          <w:spacing w:val="-3"/>
        </w:rPr>
        <w:t xml:space="preserve"> </w:t>
      </w:r>
      <w:r w:rsidR="00ED2073">
        <w:t>is</w:t>
      </w:r>
      <w:r w:rsidR="00ED2073">
        <w:rPr>
          <w:spacing w:val="-2"/>
        </w:rPr>
        <w:t xml:space="preserve"> </w:t>
      </w:r>
      <w:r w:rsidR="00ED2073">
        <w:t>also</w:t>
      </w:r>
      <w:r w:rsidR="00ED2073">
        <w:rPr>
          <w:spacing w:val="-2"/>
        </w:rPr>
        <w:t xml:space="preserve"> </w:t>
      </w:r>
      <w:r w:rsidR="00ED2073">
        <w:t>essential</w:t>
      </w:r>
      <w:r w:rsidR="00ED2073">
        <w:rPr>
          <w:spacing w:val="-2"/>
        </w:rPr>
        <w:t xml:space="preserve"> </w:t>
      </w:r>
      <w:r w:rsidR="00ED2073">
        <w:t>for transport to patients’ homes and for</w:t>
      </w:r>
      <w:r>
        <w:t xml:space="preserve"> the implementation of</w:t>
      </w:r>
      <w:r w:rsidR="00ED2073">
        <w:t xml:space="preserve"> quality initiatives to enhance the experience for families.</w:t>
      </w:r>
    </w:p>
    <w:p w14:paraId="04D67679" w14:textId="59696C83" w:rsidR="0033325A" w:rsidRDefault="009F2FDE" w:rsidP="00DE67B5">
      <w:pPr>
        <w:pStyle w:val="BodyText"/>
        <w:ind w:right="715"/>
      </w:pPr>
      <w:r>
        <w:rPr>
          <w:color w:val="1F1F1F"/>
        </w:rPr>
        <w:t xml:space="preserve">Our fundraising focus is on </w:t>
      </w:r>
      <w:r w:rsidR="00ED2073">
        <w:rPr>
          <w:color w:val="1F1F1F"/>
        </w:rPr>
        <w:t>enhancing the quality-of-care experiences for patients and their families, which is their core purpose.</w:t>
      </w:r>
    </w:p>
    <w:p w14:paraId="6372433A" w14:textId="77777777" w:rsidR="00B76E23" w:rsidRDefault="00B76E23" w:rsidP="00B76E23">
      <w:pPr>
        <w:ind w:left="861"/>
        <w:rPr>
          <w:b/>
          <w:color w:val="1F1F1F"/>
          <w:sz w:val="24"/>
        </w:rPr>
      </w:pPr>
    </w:p>
    <w:p w14:paraId="25753639" w14:textId="5A109459" w:rsidR="009F2FDE" w:rsidRPr="002D09CE" w:rsidRDefault="00B76E23" w:rsidP="002D09CE">
      <w:pPr>
        <w:rPr>
          <w:sz w:val="24"/>
          <w:szCs w:val="24"/>
        </w:rPr>
      </w:pPr>
      <w:r w:rsidRPr="002D09CE">
        <w:rPr>
          <w:b/>
          <w:color w:val="C00000"/>
          <w:sz w:val="24"/>
        </w:rPr>
        <w:t>2.0</w:t>
      </w:r>
      <w:r w:rsidRPr="002D09CE">
        <w:rPr>
          <w:b/>
          <w:color w:val="C00000"/>
          <w:sz w:val="24"/>
        </w:rPr>
        <w:tab/>
        <w:t xml:space="preserve">Fundraising </w:t>
      </w:r>
      <w:r w:rsidR="00DE67B5" w:rsidRPr="002D09CE">
        <w:rPr>
          <w:b/>
          <w:color w:val="C00000"/>
          <w:sz w:val="24"/>
        </w:rPr>
        <w:t xml:space="preserve">Strategic </w:t>
      </w:r>
      <w:r w:rsidRPr="002D09CE">
        <w:rPr>
          <w:b/>
          <w:color w:val="C00000"/>
          <w:sz w:val="24"/>
        </w:rPr>
        <w:t>Goal</w:t>
      </w:r>
      <w:r w:rsidR="009F2FDE" w:rsidRPr="002D09CE">
        <w:rPr>
          <w:b/>
          <w:color w:val="C00000"/>
          <w:sz w:val="24"/>
        </w:rPr>
        <w:t>s</w:t>
      </w:r>
    </w:p>
    <w:p w14:paraId="19D3780B" w14:textId="29A56E8E" w:rsidR="00745F38" w:rsidRDefault="00DE67B5" w:rsidP="00745F38">
      <w:pPr>
        <w:pStyle w:val="ListParagraph"/>
        <w:numPr>
          <w:ilvl w:val="0"/>
          <w:numId w:val="15"/>
        </w:numPr>
      </w:pPr>
      <w:r w:rsidRPr="009F2FDE">
        <w:t>To ensure a positive professional experience for all donors and supporters of Marymount</w:t>
      </w:r>
    </w:p>
    <w:p w14:paraId="63A3F146" w14:textId="7BC3990D" w:rsidR="00DE67B5" w:rsidRPr="00745F38" w:rsidRDefault="00DE67B5" w:rsidP="00745F38">
      <w:pPr>
        <w:pStyle w:val="ListParagraph"/>
        <w:numPr>
          <w:ilvl w:val="0"/>
          <w:numId w:val="15"/>
        </w:numPr>
      </w:pPr>
      <w:r w:rsidRPr="00745F38">
        <w:rPr>
          <w:sz w:val="24"/>
          <w:szCs w:val="24"/>
        </w:rPr>
        <w:t>To create a proactive approach to keeping the public well informed about our fundraising and services, including the enhancement of positive communications and social media interactions</w:t>
      </w:r>
    </w:p>
    <w:p w14:paraId="236BFE6C" w14:textId="77777777" w:rsidR="00DE67B5" w:rsidRDefault="00DE67B5" w:rsidP="002D09CE">
      <w:pPr>
        <w:pStyle w:val="ListParagraph"/>
        <w:widowControl/>
        <w:numPr>
          <w:ilvl w:val="0"/>
          <w:numId w:val="15"/>
        </w:numPr>
        <w:suppressAutoHyphens/>
        <w:autoSpaceDE/>
        <w:autoSpaceDN/>
        <w:contextualSpacing/>
        <w:rPr>
          <w:sz w:val="24"/>
          <w:szCs w:val="24"/>
        </w:rPr>
      </w:pPr>
      <w:r>
        <w:rPr>
          <w:sz w:val="24"/>
          <w:szCs w:val="24"/>
        </w:rPr>
        <w:t>To develop a stream of income and process to provide financial support for exceptionally complex cases requiring hardship support</w:t>
      </w:r>
    </w:p>
    <w:p w14:paraId="010C2F9C" w14:textId="77777777" w:rsidR="00DE67B5" w:rsidRDefault="00DE67B5" w:rsidP="002D09CE">
      <w:pPr>
        <w:pStyle w:val="ListParagraph"/>
        <w:widowControl/>
        <w:numPr>
          <w:ilvl w:val="0"/>
          <w:numId w:val="15"/>
        </w:numPr>
        <w:suppressAutoHyphens/>
        <w:autoSpaceDE/>
        <w:autoSpaceDN/>
        <w:contextualSpacing/>
        <w:rPr>
          <w:sz w:val="24"/>
          <w:szCs w:val="24"/>
        </w:rPr>
      </w:pPr>
      <w:r>
        <w:rPr>
          <w:sz w:val="24"/>
          <w:szCs w:val="24"/>
        </w:rPr>
        <w:t xml:space="preserve">To ensure a set number of non-core posts can be supported financially </w:t>
      </w:r>
    </w:p>
    <w:p w14:paraId="4B8B13E4" w14:textId="77777777" w:rsidR="00DE67B5" w:rsidRDefault="00DE67B5" w:rsidP="002D09CE">
      <w:pPr>
        <w:pStyle w:val="ListParagraph"/>
        <w:widowControl/>
        <w:numPr>
          <w:ilvl w:val="0"/>
          <w:numId w:val="15"/>
        </w:numPr>
        <w:suppressAutoHyphens/>
        <w:autoSpaceDE/>
        <w:autoSpaceDN/>
        <w:contextualSpacing/>
        <w:rPr>
          <w:sz w:val="24"/>
          <w:szCs w:val="24"/>
        </w:rPr>
      </w:pPr>
      <w:r>
        <w:rPr>
          <w:sz w:val="24"/>
          <w:szCs w:val="24"/>
        </w:rPr>
        <w:t>To develop community/ public inclusion in fundraising and volunteering</w:t>
      </w:r>
    </w:p>
    <w:p w14:paraId="3186EFB7" w14:textId="77777777" w:rsidR="00DE67B5" w:rsidRDefault="00DE67B5" w:rsidP="002D09CE">
      <w:pPr>
        <w:pStyle w:val="ListParagraph"/>
        <w:widowControl/>
        <w:numPr>
          <w:ilvl w:val="0"/>
          <w:numId w:val="15"/>
        </w:numPr>
        <w:suppressAutoHyphens/>
        <w:autoSpaceDE/>
        <w:autoSpaceDN/>
        <w:contextualSpacing/>
        <w:rPr>
          <w:sz w:val="24"/>
          <w:szCs w:val="24"/>
        </w:rPr>
      </w:pPr>
      <w:r>
        <w:rPr>
          <w:sz w:val="24"/>
          <w:szCs w:val="24"/>
        </w:rPr>
        <w:t>To secure an income stream to fund all capital expenditure including some large transformational and innovative projects.</w:t>
      </w:r>
    </w:p>
    <w:p w14:paraId="20A71547" w14:textId="77777777" w:rsidR="00DE67B5" w:rsidRDefault="00DE67B5" w:rsidP="002D09CE">
      <w:pPr>
        <w:pStyle w:val="ListParagraph"/>
        <w:widowControl/>
        <w:numPr>
          <w:ilvl w:val="0"/>
          <w:numId w:val="15"/>
        </w:numPr>
        <w:suppressAutoHyphens/>
        <w:autoSpaceDE/>
        <w:autoSpaceDN/>
        <w:contextualSpacing/>
        <w:rPr>
          <w:sz w:val="24"/>
          <w:szCs w:val="24"/>
        </w:rPr>
      </w:pPr>
      <w:r>
        <w:rPr>
          <w:sz w:val="24"/>
          <w:szCs w:val="24"/>
        </w:rPr>
        <w:t xml:space="preserve">To fund staff </w:t>
      </w:r>
      <w:proofErr w:type="gramStart"/>
      <w:r>
        <w:rPr>
          <w:sz w:val="24"/>
          <w:szCs w:val="24"/>
        </w:rPr>
        <w:t>supports</w:t>
      </w:r>
      <w:proofErr w:type="gramEnd"/>
      <w:r>
        <w:rPr>
          <w:sz w:val="24"/>
          <w:szCs w:val="24"/>
        </w:rPr>
        <w:t>, education and research to further develop knowledge and skillsets and ensure that we remain at the cutting edge of Palliative Medicine, and to facilitate the progression of the overall Marymount strategy.</w:t>
      </w:r>
    </w:p>
    <w:p w14:paraId="44E7F772" w14:textId="604B5EFA" w:rsidR="00DE67B5" w:rsidRDefault="00DE67B5" w:rsidP="009F2FDE">
      <w:pPr>
        <w:pStyle w:val="ListParagraph"/>
        <w:widowControl/>
        <w:numPr>
          <w:ilvl w:val="0"/>
          <w:numId w:val="15"/>
        </w:numPr>
        <w:suppressAutoHyphens/>
        <w:autoSpaceDE/>
        <w:autoSpaceDN/>
        <w:contextualSpacing/>
        <w:rPr>
          <w:sz w:val="24"/>
          <w:szCs w:val="24"/>
        </w:rPr>
      </w:pPr>
      <w:r>
        <w:rPr>
          <w:sz w:val="24"/>
          <w:szCs w:val="24"/>
        </w:rPr>
        <w:t>To ensure legislative compliance and related transparency</w:t>
      </w:r>
      <w:r w:rsidR="009F2FDE">
        <w:rPr>
          <w:sz w:val="24"/>
          <w:szCs w:val="24"/>
        </w:rPr>
        <w:t xml:space="preserve"> in fundraising</w:t>
      </w:r>
    </w:p>
    <w:p w14:paraId="64236BB8" w14:textId="03386553" w:rsidR="009F2FDE" w:rsidRDefault="009F2FDE" w:rsidP="002D09CE">
      <w:pPr>
        <w:pStyle w:val="ListParagraph"/>
        <w:widowControl/>
        <w:numPr>
          <w:ilvl w:val="0"/>
          <w:numId w:val="15"/>
        </w:numPr>
        <w:suppressAutoHyphens/>
        <w:autoSpaceDE/>
        <w:autoSpaceDN/>
        <w:contextualSpacing/>
        <w:rPr>
          <w:sz w:val="24"/>
          <w:szCs w:val="24"/>
        </w:rPr>
      </w:pPr>
      <w:r>
        <w:rPr>
          <w:sz w:val="24"/>
          <w:szCs w:val="24"/>
        </w:rPr>
        <w:t>To work alongside Together for Hospice (TFH) for national fundraising and awareness campaigns</w:t>
      </w:r>
    </w:p>
    <w:p w14:paraId="2E7A195D" w14:textId="77777777" w:rsidR="00AA18D6" w:rsidRDefault="00AA18D6" w:rsidP="00DE67B5">
      <w:pPr>
        <w:rPr>
          <w:b/>
          <w:color w:val="1F1F1F"/>
          <w:sz w:val="24"/>
        </w:rPr>
      </w:pPr>
    </w:p>
    <w:p w14:paraId="25710EBC" w14:textId="77FA3E8D" w:rsidR="00DE67B5" w:rsidRPr="00745F38" w:rsidRDefault="00B76E23" w:rsidP="00DE67B5">
      <w:pPr>
        <w:rPr>
          <w:b/>
          <w:color w:val="C00000"/>
          <w:sz w:val="24"/>
        </w:rPr>
      </w:pPr>
      <w:r w:rsidRPr="00513A03">
        <w:rPr>
          <w:b/>
          <w:color w:val="C00000"/>
          <w:sz w:val="24"/>
        </w:rPr>
        <w:t>3.0</w:t>
      </w:r>
      <w:r w:rsidRPr="00513A03">
        <w:rPr>
          <w:b/>
          <w:color w:val="C00000"/>
          <w:sz w:val="24"/>
        </w:rPr>
        <w:tab/>
        <w:t>Fundraising Methods</w:t>
      </w:r>
    </w:p>
    <w:p w14:paraId="7D4F12EB" w14:textId="3A02EF2E" w:rsidR="00DE67B5" w:rsidRDefault="00DE67B5" w:rsidP="00DE67B5">
      <w:pPr>
        <w:rPr>
          <w:sz w:val="24"/>
          <w:szCs w:val="24"/>
        </w:rPr>
      </w:pPr>
      <w:r>
        <w:rPr>
          <w:sz w:val="24"/>
          <w:szCs w:val="24"/>
        </w:rPr>
        <w:t xml:space="preserve">Marymount's fundraising methods are carefully designed to support our mission of providing specialist palliative care and older </w:t>
      </w:r>
      <w:proofErr w:type="gramStart"/>
      <w:r>
        <w:rPr>
          <w:sz w:val="24"/>
          <w:szCs w:val="24"/>
        </w:rPr>
        <w:t>persons</w:t>
      </w:r>
      <w:proofErr w:type="gramEnd"/>
      <w:r>
        <w:rPr>
          <w:sz w:val="24"/>
          <w:szCs w:val="24"/>
        </w:rPr>
        <w:t xml:space="preserve"> services. We employ a diverse range of approaches </w:t>
      </w:r>
      <w:r w:rsidR="009F2FDE">
        <w:rPr>
          <w:sz w:val="24"/>
          <w:szCs w:val="24"/>
        </w:rPr>
        <w:t>as follows:</w:t>
      </w:r>
    </w:p>
    <w:p w14:paraId="48841D7A" w14:textId="77777777" w:rsidR="00DE67B5" w:rsidRDefault="00DE67B5" w:rsidP="00DE67B5">
      <w:pPr>
        <w:rPr>
          <w:sz w:val="24"/>
          <w:szCs w:val="24"/>
        </w:rPr>
      </w:pPr>
    </w:p>
    <w:p w14:paraId="5D95AC4B" w14:textId="77777777" w:rsidR="00DE67B5" w:rsidRDefault="00DE67B5" w:rsidP="00DE67B5">
      <w:pPr>
        <w:pStyle w:val="ListParagraph"/>
        <w:widowControl/>
        <w:numPr>
          <w:ilvl w:val="0"/>
          <w:numId w:val="4"/>
        </w:numPr>
        <w:suppressAutoHyphens/>
        <w:autoSpaceDE/>
        <w:autoSpaceDN/>
        <w:contextualSpacing/>
        <w:rPr>
          <w:sz w:val="24"/>
          <w:szCs w:val="24"/>
        </w:rPr>
      </w:pPr>
      <w:r>
        <w:rPr>
          <w:b/>
          <w:bCs/>
          <w:sz w:val="24"/>
          <w:szCs w:val="24"/>
        </w:rPr>
        <w:lastRenderedPageBreak/>
        <w:t>Our annual campaigns</w:t>
      </w:r>
      <w:r>
        <w:rPr>
          <w:sz w:val="24"/>
          <w:szCs w:val="24"/>
        </w:rPr>
        <w:t xml:space="preserve">: these are fundamental to Marymount; they engage the generous Cork community.  Some are nationally (TFH) driven and some are more local, such as our annual light up a life campaign, Xmas cracker cycle </w:t>
      </w:r>
      <w:proofErr w:type="spellStart"/>
      <w:r>
        <w:rPr>
          <w:sz w:val="24"/>
          <w:szCs w:val="24"/>
        </w:rPr>
        <w:t>etc</w:t>
      </w:r>
      <w:proofErr w:type="spellEnd"/>
    </w:p>
    <w:p w14:paraId="5F1B4BC6" w14:textId="12C82F8B" w:rsidR="00DE67B5" w:rsidRPr="009F2FDE" w:rsidRDefault="00DE67B5" w:rsidP="002D09CE">
      <w:pPr>
        <w:pStyle w:val="ListParagraph"/>
        <w:widowControl/>
        <w:numPr>
          <w:ilvl w:val="0"/>
          <w:numId w:val="4"/>
        </w:numPr>
        <w:suppressAutoHyphens/>
        <w:autoSpaceDE/>
        <w:autoSpaceDN/>
        <w:contextualSpacing/>
        <w:rPr>
          <w:sz w:val="24"/>
          <w:szCs w:val="24"/>
        </w:rPr>
      </w:pPr>
      <w:r w:rsidRPr="009F2FDE">
        <w:rPr>
          <w:b/>
          <w:bCs/>
          <w:sz w:val="24"/>
          <w:szCs w:val="24"/>
        </w:rPr>
        <w:t>Targeted events</w:t>
      </w:r>
      <w:r w:rsidRPr="009F2FDE">
        <w:rPr>
          <w:sz w:val="24"/>
          <w:szCs w:val="24"/>
        </w:rPr>
        <w:t xml:space="preserve">: these are often annual or can be one off.  For example, like charity run.  These types of </w:t>
      </w:r>
      <w:proofErr w:type="gramStart"/>
      <w:r w:rsidRPr="009F2FDE">
        <w:rPr>
          <w:sz w:val="24"/>
          <w:szCs w:val="24"/>
        </w:rPr>
        <w:t>event</w:t>
      </w:r>
      <w:proofErr w:type="gramEnd"/>
      <w:r w:rsidRPr="009F2FDE">
        <w:rPr>
          <w:sz w:val="24"/>
          <w:szCs w:val="24"/>
        </w:rPr>
        <w:t xml:space="preserve"> work well with our mission and ethos and foster a spirit of collective support. </w:t>
      </w:r>
    </w:p>
    <w:p w14:paraId="1540BC0A" w14:textId="00B192F1" w:rsidR="00DE67B5" w:rsidRPr="009F2FDE" w:rsidRDefault="00DE67B5" w:rsidP="002D09CE">
      <w:pPr>
        <w:pStyle w:val="ListParagraph"/>
        <w:widowControl/>
        <w:numPr>
          <w:ilvl w:val="0"/>
          <w:numId w:val="4"/>
        </w:numPr>
        <w:suppressAutoHyphens/>
        <w:autoSpaceDE/>
        <w:autoSpaceDN/>
        <w:contextualSpacing/>
        <w:rPr>
          <w:sz w:val="24"/>
          <w:szCs w:val="24"/>
        </w:rPr>
      </w:pPr>
      <w:r w:rsidRPr="009F2FDE">
        <w:rPr>
          <w:b/>
          <w:bCs/>
          <w:sz w:val="24"/>
          <w:szCs w:val="24"/>
        </w:rPr>
        <w:t xml:space="preserve">Digital fundraising: </w:t>
      </w:r>
      <w:r w:rsidRPr="009F2FDE">
        <w:rPr>
          <w:sz w:val="24"/>
          <w:szCs w:val="24"/>
        </w:rPr>
        <w:t>These are expanding year on year for fundraising and related analytics</w:t>
      </w:r>
    </w:p>
    <w:p w14:paraId="6F7A76A4" w14:textId="77777777" w:rsidR="00DE67B5" w:rsidRDefault="00DE67B5" w:rsidP="00DE67B5">
      <w:pPr>
        <w:pStyle w:val="ListParagraph"/>
        <w:widowControl/>
        <w:numPr>
          <w:ilvl w:val="0"/>
          <w:numId w:val="4"/>
        </w:numPr>
        <w:suppressAutoHyphens/>
        <w:autoSpaceDE/>
        <w:autoSpaceDN/>
        <w:contextualSpacing/>
        <w:rPr>
          <w:sz w:val="24"/>
          <w:szCs w:val="24"/>
        </w:rPr>
      </w:pPr>
      <w:r w:rsidRPr="00DE67B5">
        <w:rPr>
          <w:b/>
          <w:bCs/>
          <w:sz w:val="24"/>
          <w:szCs w:val="24"/>
        </w:rPr>
        <w:t xml:space="preserve">Major gifts program: </w:t>
      </w:r>
      <w:r w:rsidRPr="00DE67B5">
        <w:rPr>
          <w:sz w:val="24"/>
          <w:szCs w:val="24"/>
        </w:rPr>
        <w:t>We have an informal arrangement for major gifts and do not actively seek monies from individuals in this manner.  Nonetheless we are exceptionally grateful when members of our community</w:t>
      </w:r>
      <w:r w:rsidRPr="00DE67B5">
        <w:rPr>
          <w:strike/>
          <w:sz w:val="24"/>
          <w:szCs w:val="24"/>
        </w:rPr>
        <w:t xml:space="preserve"> </w:t>
      </w:r>
      <w:r w:rsidRPr="00DE67B5">
        <w:rPr>
          <w:sz w:val="24"/>
          <w:szCs w:val="24"/>
        </w:rPr>
        <w:t xml:space="preserve">make a major donation.  </w:t>
      </w:r>
    </w:p>
    <w:p w14:paraId="48265575" w14:textId="539FF3A7" w:rsidR="00DE67B5" w:rsidRDefault="00DE67B5" w:rsidP="00DE67B5">
      <w:pPr>
        <w:pStyle w:val="ListParagraph"/>
        <w:widowControl/>
        <w:numPr>
          <w:ilvl w:val="0"/>
          <w:numId w:val="4"/>
        </w:numPr>
        <w:suppressAutoHyphens/>
        <w:autoSpaceDE/>
        <w:autoSpaceDN/>
        <w:contextualSpacing/>
        <w:rPr>
          <w:sz w:val="24"/>
          <w:szCs w:val="24"/>
        </w:rPr>
      </w:pPr>
      <w:r w:rsidRPr="00DE67B5">
        <w:rPr>
          <w:b/>
          <w:bCs/>
          <w:sz w:val="24"/>
          <w:szCs w:val="24"/>
        </w:rPr>
        <w:t xml:space="preserve">Corporate partnerships: </w:t>
      </w:r>
      <w:r w:rsidRPr="00DE67B5">
        <w:rPr>
          <w:sz w:val="24"/>
          <w:szCs w:val="24"/>
        </w:rPr>
        <w:t xml:space="preserve">Marymount works closely with companies supporting </w:t>
      </w:r>
      <w:r>
        <w:rPr>
          <w:sz w:val="24"/>
          <w:szCs w:val="24"/>
        </w:rPr>
        <w:t>CSR</w:t>
      </w:r>
      <w:r w:rsidRPr="00DE67B5">
        <w:rPr>
          <w:sz w:val="24"/>
          <w:szCs w:val="24"/>
        </w:rPr>
        <w:t xml:space="preserve"> particularly with local Cork businesses.  These companies provide crucial support and visibility for our services. </w:t>
      </w:r>
    </w:p>
    <w:p w14:paraId="01A9484B" w14:textId="77777777" w:rsidR="00DE67B5" w:rsidRPr="00DE67B5" w:rsidRDefault="00DE67B5" w:rsidP="00DE67B5">
      <w:pPr>
        <w:pStyle w:val="ListParagraph"/>
        <w:widowControl/>
        <w:numPr>
          <w:ilvl w:val="0"/>
          <w:numId w:val="4"/>
        </w:numPr>
        <w:suppressAutoHyphens/>
        <w:autoSpaceDE/>
        <w:autoSpaceDN/>
        <w:contextualSpacing/>
        <w:rPr>
          <w:sz w:val="24"/>
          <w:szCs w:val="24"/>
        </w:rPr>
      </w:pPr>
      <w:r w:rsidRPr="00DE67B5">
        <w:rPr>
          <w:b/>
          <w:bCs/>
          <w:sz w:val="24"/>
          <w:szCs w:val="24"/>
        </w:rPr>
        <w:t>Legacy giving program:</w:t>
      </w:r>
      <w:r w:rsidRPr="00DE67B5">
        <w:rPr>
          <w:sz w:val="24"/>
          <w:szCs w:val="24"/>
        </w:rPr>
        <w:t xml:space="preserve"> We do not actively seek legacy donations.  However, we are conscious of very generous donations through legacy whereby members of our community have chosen to donate to us in their will.  Legacies will always be treated with the utmost sensitivity.</w:t>
      </w:r>
    </w:p>
    <w:p w14:paraId="5647101B" w14:textId="77777777" w:rsidR="00DE67B5" w:rsidRDefault="00DE67B5" w:rsidP="00DE67B5">
      <w:pPr>
        <w:pStyle w:val="ListParagraph"/>
        <w:rPr>
          <w:sz w:val="24"/>
          <w:szCs w:val="24"/>
        </w:rPr>
      </w:pPr>
    </w:p>
    <w:p w14:paraId="0A65930D" w14:textId="3023CF85" w:rsidR="00513A03" w:rsidRPr="00513A03" w:rsidRDefault="009F2FDE" w:rsidP="00513A03">
      <w:pPr>
        <w:rPr>
          <w:b/>
          <w:bCs/>
          <w:color w:val="C00000"/>
          <w:sz w:val="24"/>
          <w:szCs w:val="24"/>
        </w:rPr>
      </w:pPr>
      <w:r>
        <w:rPr>
          <w:b/>
          <w:bCs/>
          <w:color w:val="C00000"/>
          <w:sz w:val="24"/>
          <w:szCs w:val="24"/>
        </w:rPr>
        <w:t xml:space="preserve">4.0 </w:t>
      </w:r>
      <w:r w:rsidR="00513A03" w:rsidRPr="00513A03">
        <w:rPr>
          <w:b/>
          <w:bCs/>
          <w:color w:val="C00000"/>
          <w:sz w:val="24"/>
          <w:szCs w:val="24"/>
        </w:rPr>
        <w:t>Target Deliverables 2025-2027</w:t>
      </w:r>
    </w:p>
    <w:p w14:paraId="7032909F" w14:textId="19361176" w:rsidR="00513A03" w:rsidRDefault="00513A03" w:rsidP="009F2FDE">
      <w:pPr>
        <w:rPr>
          <w:sz w:val="24"/>
          <w:szCs w:val="24"/>
        </w:rPr>
      </w:pPr>
      <w:r>
        <w:rPr>
          <w:sz w:val="24"/>
          <w:szCs w:val="24"/>
        </w:rPr>
        <w:t xml:space="preserve">Building on our strategic objectives and vision for Marymount's future, we have established a set of specific, measurable target deliverables for the 2025-2027 period. </w:t>
      </w:r>
    </w:p>
    <w:p w14:paraId="5EE30431" w14:textId="77777777" w:rsidR="00513A03" w:rsidRPr="00535791" w:rsidRDefault="00513A03" w:rsidP="00513A03">
      <w:pPr>
        <w:rPr>
          <w:sz w:val="24"/>
          <w:szCs w:val="24"/>
        </w:rPr>
      </w:pPr>
    </w:p>
    <w:tbl>
      <w:tblPr>
        <w:tblStyle w:val="TableGrid"/>
        <w:tblW w:w="9781" w:type="dxa"/>
        <w:tblInd w:w="-5" w:type="dxa"/>
        <w:tblLayout w:type="fixed"/>
        <w:tblLook w:val="04A0" w:firstRow="1" w:lastRow="0" w:firstColumn="1" w:lastColumn="0" w:noHBand="0" w:noVBand="1"/>
      </w:tblPr>
      <w:tblGrid>
        <w:gridCol w:w="710"/>
        <w:gridCol w:w="2692"/>
        <w:gridCol w:w="4396"/>
        <w:gridCol w:w="1983"/>
      </w:tblGrid>
      <w:tr w:rsidR="00513A03" w:rsidRPr="009F2FDE" w14:paraId="6E953CC8" w14:textId="77777777" w:rsidTr="00430131">
        <w:tc>
          <w:tcPr>
            <w:tcW w:w="709" w:type="dxa"/>
            <w:shd w:val="clear" w:color="auto" w:fill="FDE9D9" w:themeFill="accent6" w:themeFillTint="33"/>
          </w:tcPr>
          <w:p w14:paraId="4624C350" w14:textId="77777777" w:rsidR="00513A03" w:rsidRPr="002D09CE" w:rsidRDefault="00513A03" w:rsidP="00430131">
            <w:pPr>
              <w:rPr>
                <w:b/>
                <w:bCs/>
                <w:color w:val="993300"/>
                <w:sz w:val="20"/>
                <w:szCs w:val="20"/>
              </w:rPr>
            </w:pPr>
          </w:p>
        </w:tc>
        <w:tc>
          <w:tcPr>
            <w:tcW w:w="2692" w:type="dxa"/>
            <w:shd w:val="clear" w:color="auto" w:fill="FDE9D9" w:themeFill="accent6" w:themeFillTint="33"/>
          </w:tcPr>
          <w:p w14:paraId="0B65A30A" w14:textId="77777777" w:rsidR="00513A03" w:rsidRPr="002D09CE" w:rsidRDefault="00513A03" w:rsidP="00430131">
            <w:pPr>
              <w:rPr>
                <w:b/>
                <w:bCs/>
                <w:color w:val="993300"/>
                <w:sz w:val="20"/>
                <w:szCs w:val="20"/>
              </w:rPr>
            </w:pPr>
            <w:r w:rsidRPr="002D09CE">
              <w:rPr>
                <w:rFonts w:eastAsia="Aptos"/>
                <w:b/>
                <w:bCs/>
                <w:color w:val="993300"/>
                <w:sz w:val="20"/>
                <w:szCs w:val="20"/>
              </w:rPr>
              <w:t>Goal</w:t>
            </w:r>
          </w:p>
          <w:p w14:paraId="552C7B57" w14:textId="77777777" w:rsidR="00513A03" w:rsidRPr="002D09CE" w:rsidRDefault="00513A03" w:rsidP="00430131">
            <w:pPr>
              <w:rPr>
                <w:b/>
                <w:bCs/>
                <w:color w:val="993300"/>
                <w:sz w:val="20"/>
                <w:szCs w:val="20"/>
              </w:rPr>
            </w:pPr>
          </w:p>
        </w:tc>
        <w:tc>
          <w:tcPr>
            <w:tcW w:w="4396" w:type="dxa"/>
            <w:shd w:val="clear" w:color="auto" w:fill="FDE9D9" w:themeFill="accent6" w:themeFillTint="33"/>
          </w:tcPr>
          <w:p w14:paraId="2684A81A" w14:textId="77777777" w:rsidR="00513A03" w:rsidRPr="002D09CE" w:rsidRDefault="00513A03" w:rsidP="00430131">
            <w:pPr>
              <w:rPr>
                <w:b/>
                <w:bCs/>
                <w:color w:val="993300"/>
                <w:sz w:val="20"/>
                <w:szCs w:val="20"/>
              </w:rPr>
            </w:pPr>
            <w:r w:rsidRPr="002D09CE">
              <w:rPr>
                <w:rFonts w:eastAsia="Aptos"/>
                <w:b/>
                <w:bCs/>
                <w:color w:val="993300"/>
                <w:sz w:val="20"/>
                <w:szCs w:val="20"/>
              </w:rPr>
              <w:t xml:space="preserve">Strategic initiatives </w:t>
            </w:r>
          </w:p>
        </w:tc>
        <w:tc>
          <w:tcPr>
            <w:tcW w:w="1983" w:type="dxa"/>
            <w:shd w:val="clear" w:color="auto" w:fill="FDE9D9" w:themeFill="accent6" w:themeFillTint="33"/>
          </w:tcPr>
          <w:p w14:paraId="4A31ABB6" w14:textId="77777777" w:rsidR="00513A03" w:rsidRPr="002D09CE" w:rsidRDefault="00513A03" w:rsidP="00430131">
            <w:pPr>
              <w:rPr>
                <w:b/>
                <w:bCs/>
                <w:color w:val="993300"/>
                <w:sz w:val="20"/>
                <w:szCs w:val="20"/>
              </w:rPr>
            </w:pPr>
            <w:r w:rsidRPr="002D09CE">
              <w:rPr>
                <w:rFonts w:eastAsia="Aptos"/>
                <w:b/>
                <w:bCs/>
                <w:color w:val="993300"/>
                <w:sz w:val="20"/>
                <w:szCs w:val="20"/>
              </w:rPr>
              <w:t>Timeframe</w:t>
            </w:r>
          </w:p>
        </w:tc>
      </w:tr>
      <w:tr w:rsidR="00513A03" w:rsidRPr="009F2FDE" w14:paraId="60510F9F" w14:textId="77777777" w:rsidTr="00430131">
        <w:tc>
          <w:tcPr>
            <w:tcW w:w="709" w:type="dxa"/>
            <w:shd w:val="clear" w:color="auto" w:fill="FDE9D9" w:themeFill="accent6" w:themeFillTint="33"/>
          </w:tcPr>
          <w:p w14:paraId="6E49B26C" w14:textId="77777777" w:rsidR="00513A03" w:rsidRPr="002D09CE" w:rsidRDefault="00513A03" w:rsidP="00430131">
            <w:pPr>
              <w:rPr>
                <w:b/>
                <w:bCs/>
                <w:color w:val="993300"/>
                <w:sz w:val="20"/>
                <w:szCs w:val="20"/>
              </w:rPr>
            </w:pPr>
            <w:r w:rsidRPr="002D09CE">
              <w:rPr>
                <w:rFonts w:eastAsia="Aptos"/>
                <w:b/>
                <w:bCs/>
                <w:color w:val="993300"/>
                <w:sz w:val="20"/>
                <w:szCs w:val="20"/>
              </w:rPr>
              <w:t>1</w:t>
            </w:r>
          </w:p>
        </w:tc>
        <w:tc>
          <w:tcPr>
            <w:tcW w:w="2692" w:type="dxa"/>
          </w:tcPr>
          <w:p w14:paraId="1C4EDD7C" w14:textId="77777777" w:rsidR="00513A03" w:rsidRPr="002D09CE" w:rsidRDefault="00513A03" w:rsidP="00430131">
            <w:pPr>
              <w:rPr>
                <w:sz w:val="20"/>
                <w:szCs w:val="20"/>
              </w:rPr>
            </w:pPr>
            <w:r w:rsidRPr="002D09CE">
              <w:rPr>
                <w:rFonts w:eastAsia="Aptos"/>
                <w:sz w:val="20"/>
                <w:szCs w:val="20"/>
              </w:rPr>
              <w:t xml:space="preserve">To ensure a continual steady stream of fundraising income to support all service provision, enhance quality elements of care and strategic initiatives  </w:t>
            </w:r>
          </w:p>
          <w:p w14:paraId="1893A874" w14:textId="77777777" w:rsidR="00513A03" w:rsidRPr="002D09CE" w:rsidRDefault="00513A03" w:rsidP="00430131">
            <w:pPr>
              <w:rPr>
                <w:sz w:val="20"/>
                <w:szCs w:val="20"/>
              </w:rPr>
            </w:pPr>
          </w:p>
        </w:tc>
        <w:tc>
          <w:tcPr>
            <w:tcW w:w="4396" w:type="dxa"/>
          </w:tcPr>
          <w:p w14:paraId="73B22BC6" w14:textId="77777777" w:rsidR="00513A03" w:rsidRPr="002D09CE" w:rsidRDefault="00513A03" w:rsidP="00513A03">
            <w:pPr>
              <w:pStyle w:val="ListParagraph"/>
              <w:numPr>
                <w:ilvl w:val="1"/>
                <w:numId w:val="5"/>
              </w:numPr>
              <w:contextualSpacing/>
              <w:rPr>
                <w:sz w:val="20"/>
                <w:szCs w:val="20"/>
              </w:rPr>
            </w:pPr>
            <w:r w:rsidRPr="002D09CE">
              <w:rPr>
                <w:rFonts w:eastAsia="Aptos"/>
                <w:sz w:val="20"/>
                <w:szCs w:val="20"/>
              </w:rPr>
              <w:t xml:space="preserve">Work with Together </w:t>
            </w:r>
            <w:proofErr w:type="gramStart"/>
            <w:r w:rsidRPr="002D09CE">
              <w:rPr>
                <w:rFonts w:eastAsia="Aptos"/>
                <w:sz w:val="20"/>
                <w:szCs w:val="20"/>
              </w:rPr>
              <w:t>For</w:t>
            </w:r>
            <w:proofErr w:type="gramEnd"/>
            <w:r w:rsidRPr="002D09CE">
              <w:rPr>
                <w:rFonts w:eastAsia="Aptos"/>
                <w:sz w:val="20"/>
                <w:szCs w:val="20"/>
              </w:rPr>
              <w:t xml:space="preserve"> Hospice on national hospice campaigns, including a third campaign as it occurs</w:t>
            </w:r>
          </w:p>
          <w:p w14:paraId="15464FA1" w14:textId="77777777" w:rsidR="00513A03" w:rsidRPr="002D09CE" w:rsidRDefault="00513A03" w:rsidP="00513A03">
            <w:pPr>
              <w:pStyle w:val="ListParagraph"/>
              <w:numPr>
                <w:ilvl w:val="1"/>
                <w:numId w:val="5"/>
              </w:numPr>
              <w:contextualSpacing/>
              <w:rPr>
                <w:sz w:val="20"/>
                <w:szCs w:val="20"/>
              </w:rPr>
            </w:pPr>
            <w:r w:rsidRPr="002D09CE">
              <w:rPr>
                <w:rFonts w:eastAsia="Aptos"/>
                <w:sz w:val="20"/>
                <w:szCs w:val="20"/>
              </w:rPr>
              <w:t xml:space="preserve">Set annual financial targets and monitor </w:t>
            </w:r>
          </w:p>
          <w:p w14:paraId="4569A157" w14:textId="77777777" w:rsidR="00513A03" w:rsidRPr="002D09CE" w:rsidRDefault="00513A03" w:rsidP="00513A03">
            <w:pPr>
              <w:pStyle w:val="ListParagraph"/>
              <w:numPr>
                <w:ilvl w:val="1"/>
                <w:numId w:val="5"/>
              </w:numPr>
              <w:contextualSpacing/>
              <w:rPr>
                <w:sz w:val="20"/>
                <w:szCs w:val="20"/>
              </w:rPr>
            </w:pPr>
            <w:r w:rsidRPr="002D09CE">
              <w:rPr>
                <w:rFonts w:eastAsia="Aptos"/>
                <w:sz w:val="20"/>
                <w:szCs w:val="20"/>
              </w:rPr>
              <w:t>To develop new high-quality sources of fundraising</w:t>
            </w:r>
          </w:p>
          <w:p w14:paraId="005F55E2" w14:textId="77777777" w:rsidR="00513A03" w:rsidRPr="002D09CE" w:rsidRDefault="00513A03" w:rsidP="00513A03">
            <w:pPr>
              <w:pStyle w:val="ListParagraph"/>
              <w:numPr>
                <w:ilvl w:val="1"/>
                <w:numId w:val="5"/>
              </w:numPr>
              <w:contextualSpacing/>
              <w:rPr>
                <w:sz w:val="20"/>
                <w:szCs w:val="20"/>
              </w:rPr>
            </w:pPr>
            <w:r w:rsidRPr="002D09CE">
              <w:rPr>
                <w:rFonts w:eastAsia="Aptos"/>
                <w:sz w:val="20"/>
                <w:szCs w:val="20"/>
              </w:rPr>
              <w:t>To support community fundraising initiatives insofar as possible</w:t>
            </w:r>
          </w:p>
          <w:p w14:paraId="646E7952" w14:textId="77777777" w:rsidR="00513A03" w:rsidRPr="002D09CE" w:rsidRDefault="00513A03" w:rsidP="00513A03">
            <w:pPr>
              <w:pStyle w:val="ListParagraph"/>
              <w:numPr>
                <w:ilvl w:val="1"/>
                <w:numId w:val="5"/>
              </w:numPr>
              <w:contextualSpacing/>
              <w:rPr>
                <w:sz w:val="20"/>
                <w:szCs w:val="20"/>
              </w:rPr>
            </w:pPr>
            <w:r w:rsidRPr="002D09CE">
              <w:rPr>
                <w:rFonts w:eastAsia="Aptos"/>
                <w:sz w:val="20"/>
                <w:szCs w:val="20"/>
              </w:rPr>
              <w:t>Develop corporate partners and appropriate ambassadorial support</w:t>
            </w:r>
          </w:p>
        </w:tc>
        <w:tc>
          <w:tcPr>
            <w:tcW w:w="1983" w:type="dxa"/>
          </w:tcPr>
          <w:p w14:paraId="7D311DCC" w14:textId="77777777" w:rsidR="00513A03" w:rsidRPr="002D09CE" w:rsidRDefault="00513A03" w:rsidP="00430131">
            <w:pPr>
              <w:rPr>
                <w:sz w:val="20"/>
                <w:szCs w:val="20"/>
              </w:rPr>
            </w:pPr>
            <w:r w:rsidRPr="002D09CE">
              <w:rPr>
                <w:rFonts w:eastAsia="Aptos"/>
                <w:sz w:val="20"/>
                <w:szCs w:val="20"/>
              </w:rPr>
              <w:t>Short term / ongoing</w:t>
            </w:r>
          </w:p>
        </w:tc>
      </w:tr>
      <w:tr w:rsidR="00513A03" w:rsidRPr="009F2FDE" w14:paraId="7D8F5AFC" w14:textId="77777777" w:rsidTr="00430131">
        <w:trPr>
          <w:trHeight w:val="300"/>
        </w:trPr>
        <w:tc>
          <w:tcPr>
            <w:tcW w:w="709" w:type="dxa"/>
            <w:shd w:val="clear" w:color="auto" w:fill="FDE9D9" w:themeFill="accent6" w:themeFillTint="33"/>
          </w:tcPr>
          <w:p w14:paraId="20D131FD" w14:textId="77777777" w:rsidR="00513A03" w:rsidRPr="002D09CE" w:rsidRDefault="00513A03" w:rsidP="00430131">
            <w:pPr>
              <w:rPr>
                <w:b/>
                <w:bCs/>
                <w:color w:val="993300"/>
                <w:sz w:val="20"/>
                <w:szCs w:val="20"/>
              </w:rPr>
            </w:pPr>
            <w:r w:rsidRPr="002D09CE">
              <w:rPr>
                <w:rFonts w:eastAsia="Aptos"/>
                <w:b/>
                <w:bCs/>
                <w:color w:val="993300"/>
                <w:sz w:val="20"/>
                <w:szCs w:val="20"/>
              </w:rPr>
              <w:t>1a</w:t>
            </w:r>
          </w:p>
        </w:tc>
        <w:tc>
          <w:tcPr>
            <w:tcW w:w="2692" w:type="dxa"/>
          </w:tcPr>
          <w:p w14:paraId="1477679E" w14:textId="77777777" w:rsidR="00513A03" w:rsidRPr="002D09CE" w:rsidRDefault="00513A03" w:rsidP="00430131">
            <w:pPr>
              <w:rPr>
                <w:sz w:val="20"/>
                <w:szCs w:val="20"/>
              </w:rPr>
            </w:pPr>
            <w:r w:rsidRPr="002D09CE">
              <w:rPr>
                <w:rFonts w:eastAsia="Aptos"/>
                <w:sz w:val="20"/>
                <w:szCs w:val="20"/>
              </w:rPr>
              <w:t>To support significant funding for our education and research goal of our strategy</w:t>
            </w:r>
          </w:p>
        </w:tc>
        <w:tc>
          <w:tcPr>
            <w:tcW w:w="4396" w:type="dxa"/>
          </w:tcPr>
          <w:p w14:paraId="43CECE6C" w14:textId="77777777" w:rsidR="00513A03" w:rsidRPr="002D09CE" w:rsidRDefault="00513A03" w:rsidP="00430131">
            <w:pPr>
              <w:rPr>
                <w:sz w:val="20"/>
                <w:szCs w:val="20"/>
              </w:rPr>
            </w:pPr>
            <w:r w:rsidRPr="002D09CE">
              <w:rPr>
                <w:rFonts w:eastAsia="Aptos"/>
                <w:sz w:val="20"/>
                <w:szCs w:val="20"/>
              </w:rPr>
              <w:t>1.6 To seed feed the scoping of an institute for education and research</w:t>
            </w:r>
          </w:p>
          <w:p w14:paraId="6FD1DDA6" w14:textId="77777777" w:rsidR="00513A03" w:rsidRPr="002D09CE" w:rsidRDefault="00513A03" w:rsidP="00430131">
            <w:pPr>
              <w:rPr>
                <w:sz w:val="20"/>
                <w:szCs w:val="20"/>
              </w:rPr>
            </w:pPr>
            <w:r w:rsidRPr="002D09CE">
              <w:rPr>
                <w:rFonts w:eastAsia="Aptos"/>
                <w:sz w:val="20"/>
                <w:szCs w:val="20"/>
              </w:rPr>
              <w:t>1.7 To grow a body of research which will inform and develop SPC nationally and internationally</w:t>
            </w:r>
          </w:p>
          <w:p w14:paraId="61311008" w14:textId="77777777" w:rsidR="00513A03" w:rsidRPr="002D09CE" w:rsidRDefault="00513A03" w:rsidP="00430131">
            <w:pPr>
              <w:rPr>
                <w:sz w:val="20"/>
                <w:szCs w:val="20"/>
              </w:rPr>
            </w:pPr>
            <w:r w:rsidRPr="002D09CE">
              <w:rPr>
                <w:rFonts w:eastAsia="Aptos"/>
                <w:sz w:val="20"/>
                <w:szCs w:val="20"/>
              </w:rPr>
              <w:t>1.8 To fund relevant posts that will enable the vision of an institute for education and research to be achieved</w:t>
            </w:r>
          </w:p>
        </w:tc>
        <w:tc>
          <w:tcPr>
            <w:tcW w:w="1983" w:type="dxa"/>
          </w:tcPr>
          <w:p w14:paraId="3240DDF2" w14:textId="77777777" w:rsidR="00513A03" w:rsidRPr="002D09CE" w:rsidRDefault="00513A03" w:rsidP="00430131">
            <w:pPr>
              <w:rPr>
                <w:sz w:val="20"/>
                <w:szCs w:val="20"/>
              </w:rPr>
            </w:pPr>
            <w:r w:rsidRPr="002D09CE">
              <w:rPr>
                <w:rFonts w:eastAsia="Aptos"/>
                <w:sz w:val="20"/>
                <w:szCs w:val="20"/>
              </w:rPr>
              <w:t>Immediate</w:t>
            </w:r>
          </w:p>
        </w:tc>
      </w:tr>
      <w:tr w:rsidR="00513A03" w:rsidRPr="009F2FDE" w14:paraId="1BE38AE5" w14:textId="77777777" w:rsidTr="00430131">
        <w:tc>
          <w:tcPr>
            <w:tcW w:w="709" w:type="dxa"/>
            <w:shd w:val="clear" w:color="auto" w:fill="FDE9D9" w:themeFill="accent6" w:themeFillTint="33"/>
          </w:tcPr>
          <w:p w14:paraId="7FA28016" w14:textId="77777777" w:rsidR="00513A03" w:rsidRPr="002D09CE" w:rsidRDefault="00513A03" w:rsidP="00430131">
            <w:pPr>
              <w:rPr>
                <w:b/>
                <w:bCs/>
                <w:color w:val="993300"/>
                <w:sz w:val="20"/>
                <w:szCs w:val="20"/>
              </w:rPr>
            </w:pPr>
            <w:r w:rsidRPr="002D09CE">
              <w:rPr>
                <w:rFonts w:eastAsia="Aptos"/>
                <w:b/>
                <w:bCs/>
                <w:color w:val="993300"/>
                <w:sz w:val="20"/>
                <w:szCs w:val="20"/>
              </w:rPr>
              <w:t>2</w:t>
            </w:r>
          </w:p>
        </w:tc>
        <w:tc>
          <w:tcPr>
            <w:tcW w:w="2692" w:type="dxa"/>
          </w:tcPr>
          <w:p w14:paraId="1818C6A7" w14:textId="77777777" w:rsidR="00513A03" w:rsidRPr="002D09CE" w:rsidRDefault="00513A03" w:rsidP="00430131">
            <w:pPr>
              <w:rPr>
                <w:sz w:val="20"/>
                <w:szCs w:val="20"/>
              </w:rPr>
            </w:pPr>
            <w:r w:rsidRPr="002D09CE">
              <w:rPr>
                <w:rFonts w:eastAsia="Aptos"/>
                <w:sz w:val="20"/>
                <w:szCs w:val="20"/>
              </w:rPr>
              <w:t>To create a proactive approach to keeping the public well informed about our fundraising and services, including the enhancement of positive communications, social media interactions and visibility at relevant events</w:t>
            </w:r>
          </w:p>
          <w:p w14:paraId="0989B57C" w14:textId="77777777" w:rsidR="00513A03" w:rsidRPr="002D09CE" w:rsidRDefault="00513A03" w:rsidP="00430131">
            <w:pPr>
              <w:pStyle w:val="ListParagraph"/>
              <w:rPr>
                <w:sz w:val="20"/>
                <w:szCs w:val="20"/>
              </w:rPr>
            </w:pPr>
          </w:p>
        </w:tc>
        <w:tc>
          <w:tcPr>
            <w:tcW w:w="4396" w:type="dxa"/>
          </w:tcPr>
          <w:p w14:paraId="03040E19" w14:textId="77777777" w:rsidR="00513A03" w:rsidRPr="002D09CE" w:rsidRDefault="00513A03" w:rsidP="00513A03">
            <w:pPr>
              <w:pStyle w:val="ListParagraph"/>
              <w:numPr>
                <w:ilvl w:val="1"/>
                <w:numId w:val="7"/>
              </w:numPr>
              <w:contextualSpacing/>
              <w:rPr>
                <w:sz w:val="20"/>
                <w:szCs w:val="20"/>
              </w:rPr>
            </w:pPr>
            <w:r w:rsidRPr="002D09CE">
              <w:rPr>
                <w:rFonts w:eastAsia="Aptos"/>
                <w:sz w:val="20"/>
                <w:szCs w:val="20"/>
              </w:rPr>
              <w:t>Develop a social media strategy annually</w:t>
            </w:r>
          </w:p>
          <w:p w14:paraId="4D9D8376" w14:textId="77777777" w:rsidR="00513A03" w:rsidRPr="002D09CE" w:rsidRDefault="00513A03" w:rsidP="00513A03">
            <w:pPr>
              <w:pStyle w:val="ListParagraph"/>
              <w:numPr>
                <w:ilvl w:val="1"/>
                <w:numId w:val="7"/>
              </w:numPr>
              <w:contextualSpacing/>
              <w:rPr>
                <w:sz w:val="20"/>
                <w:szCs w:val="20"/>
              </w:rPr>
            </w:pPr>
            <w:r w:rsidRPr="002D09CE">
              <w:rPr>
                <w:rFonts w:eastAsia="Aptos"/>
                <w:sz w:val="20"/>
                <w:szCs w:val="20"/>
              </w:rPr>
              <w:t>Review all documentation packs as required</w:t>
            </w:r>
          </w:p>
          <w:p w14:paraId="2EC9306B" w14:textId="77777777" w:rsidR="00513A03" w:rsidRPr="002D09CE" w:rsidRDefault="00513A03" w:rsidP="00513A03">
            <w:pPr>
              <w:pStyle w:val="ListParagraph"/>
              <w:numPr>
                <w:ilvl w:val="1"/>
                <w:numId w:val="7"/>
              </w:numPr>
              <w:contextualSpacing/>
              <w:rPr>
                <w:sz w:val="20"/>
                <w:szCs w:val="20"/>
              </w:rPr>
            </w:pPr>
            <w:r w:rsidRPr="002D09CE">
              <w:rPr>
                <w:rFonts w:eastAsia="Aptos"/>
                <w:sz w:val="20"/>
                <w:szCs w:val="20"/>
              </w:rPr>
              <w:t>continue to develop on site media/ communications</w:t>
            </w:r>
          </w:p>
          <w:p w14:paraId="77534E96" w14:textId="77777777" w:rsidR="00513A03" w:rsidRPr="002D09CE" w:rsidRDefault="00513A03" w:rsidP="00513A03">
            <w:pPr>
              <w:pStyle w:val="ListParagraph"/>
              <w:numPr>
                <w:ilvl w:val="1"/>
                <w:numId w:val="7"/>
              </w:numPr>
              <w:contextualSpacing/>
              <w:rPr>
                <w:sz w:val="20"/>
                <w:szCs w:val="20"/>
              </w:rPr>
            </w:pPr>
            <w:r w:rsidRPr="002D09CE">
              <w:rPr>
                <w:rFonts w:eastAsia="Aptos"/>
                <w:sz w:val="20"/>
                <w:szCs w:val="20"/>
              </w:rPr>
              <w:t>promote Marymount and SPC with the team when opportunities arise</w:t>
            </w:r>
          </w:p>
          <w:p w14:paraId="51FAC8E7" w14:textId="77777777" w:rsidR="00513A03" w:rsidRPr="002D09CE" w:rsidRDefault="00513A03" w:rsidP="00513A03">
            <w:pPr>
              <w:pStyle w:val="ListParagraph"/>
              <w:numPr>
                <w:ilvl w:val="1"/>
                <w:numId w:val="7"/>
              </w:numPr>
              <w:contextualSpacing/>
              <w:rPr>
                <w:sz w:val="20"/>
                <w:szCs w:val="20"/>
              </w:rPr>
            </w:pPr>
            <w:r w:rsidRPr="002D09CE">
              <w:rPr>
                <w:rFonts w:eastAsia="Aptos"/>
                <w:sz w:val="20"/>
                <w:szCs w:val="20"/>
              </w:rPr>
              <w:t xml:space="preserve">continue to review and develop merchandise </w:t>
            </w:r>
          </w:p>
          <w:p w14:paraId="1CFA1BDD" w14:textId="77777777" w:rsidR="00513A03" w:rsidRPr="002D09CE" w:rsidRDefault="00513A03" w:rsidP="00513A03">
            <w:pPr>
              <w:pStyle w:val="ListParagraph"/>
              <w:numPr>
                <w:ilvl w:val="1"/>
                <w:numId w:val="7"/>
              </w:numPr>
              <w:contextualSpacing/>
              <w:rPr>
                <w:sz w:val="20"/>
                <w:szCs w:val="20"/>
              </w:rPr>
            </w:pPr>
            <w:r w:rsidRPr="002D09CE">
              <w:rPr>
                <w:rFonts w:eastAsia="Aptos"/>
                <w:sz w:val="20"/>
                <w:szCs w:val="20"/>
              </w:rPr>
              <w:t>advocate for older persons and palliative care</w:t>
            </w:r>
          </w:p>
          <w:p w14:paraId="420BADE0" w14:textId="77777777" w:rsidR="00513A03" w:rsidRPr="002D09CE" w:rsidRDefault="00513A03" w:rsidP="00513A03">
            <w:pPr>
              <w:pStyle w:val="ListParagraph"/>
              <w:numPr>
                <w:ilvl w:val="1"/>
                <w:numId w:val="7"/>
              </w:numPr>
              <w:contextualSpacing/>
              <w:rPr>
                <w:sz w:val="20"/>
                <w:szCs w:val="20"/>
              </w:rPr>
            </w:pPr>
            <w:r w:rsidRPr="002D09CE">
              <w:rPr>
                <w:rFonts w:eastAsia="Aptos"/>
                <w:sz w:val="20"/>
                <w:szCs w:val="20"/>
              </w:rPr>
              <w:t>review methods of communication and mailshots with data analyst input</w:t>
            </w:r>
          </w:p>
          <w:p w14:paraId="551A33E1" w14:textId="77777777" w:rsidR="00513A03" w:rsidRPr="002D09CE" w:rsidRDefault="00513A03" w:rsidP="00513A03">
            <w:pPr>
              <w:pStyle w:val="ListParagraph"/>
              <w:numPr>
                <w:ilvl w:val="1"/>
                <w:numId w:val="7"/>
              </w:numPr>
              <w:contextualSpacing/>
              <w:rPr>
                <w:sz w:val="20"/>
                <w:szCs w:val="20"/>
              </w:rPr>
            </w:pPr>
            <w:r w:rsidRPr="002D09CE">
              <w:rPr>
                <w:rFonts w:eastAsia="Aptos"/>
                <w:sz w:val="20"/>
                <w:szCs w:val="20"/>
              </w:rPr>
              <w:t xml:space="preserve">ensure key advocacy dates are well supported internally and externally and marketed </w:t>
            </w:r>
          </w:p>
        </w:tc>
        <w:tc>
          <w:tcPr>
            <w:tcW w:w="1983" w:type="dxa"/>
          </w:tcPr>
          <w:p w14:paraId="69451FD8" w14:textId="77777777" w:rsidR="00513A03" w:rsidRPr="002D09CE" w:rsidRDefault="00513A03" w:rsidP="00430131">
            <w:pPr>
              <w:rPr>
                <w:sz w:val="20"/>
                <w:szCs w:val="20"/>
              </w:rPr>
            </w:pPr>
            <w:r w:rsidRPr="002D09CE">
              <w:rPr>
                <w:rFonts w:eastAsia="Aptos"/>
                <w:sz w:val="20"/>
                <w:szCs w:val="20"/>
              </w:rPr>
              <w:t>Long term / ongoing</w:t>
            </w:r>
          </w:p>
        </w:tc>
      </w:tr>
      <w:tr w:rsidR="00513A03" w:rsidRPr="009F2FDE" w14:paraId="72BDF5FA" w14:textId="77777777" w:rsidTr="00430131">
        <w:tc>
          <w:tcPr>
            <w:tcW w:w="709" w:type="dxa"/>
            <w:shd w:val="clear" w:color="auto" w:fill="FDE9D9" w:themeFill="accent6" w:themeFillTint="33"/>
          </w:tcPr>
          <w:p w14:paraId="03543C7A" w14:textId="77777777" w:rsidR="00513A03" w:rsidRPr="002D09CE" w:rsidRDefault="00513A03" w:rsidP="00430131">
            <w:pPr>
              <w:rPr>
                <w:b/>
                <w:bCs/>
                <w:color w:val="993300"/>
                <w:sz w:val="20"/>
                <w:szCs w:val="20"/>
              </w:rPr>
            </w:pPr>
            <w:r w:rsidRPr="002D09CE">
              <w:rPr>
                <w:rFonts w:eastAsia="Aptos"/>
                <w:b/>
                <w:bCs/>
                <w:color w:val="993300"/>
                <w:sz w:val="20"/>
                <w:szCs w:val="20"/>
              </w:rPr>
              <w:lastRenderedPageBreak/>
              <w:t>3</w:t>
            </w:r>
          </w:p>
        </w:tc>
        <w:tc>
          <w:tcPr>
            <w:tcW w:w="2692" w:type="dxa"/>
          </w:tcPr>
          <w:p w14:paraId="51A0BA29" w14:textId="77777777" w:rsidR="00513A03" w:rsidRPr="002D09CE" w:rsidRDefault="00513A03" w:rsidP="00430131">
            <w:pPr>
              <w:rPr>
                <w:sz w:val="20"/>
                <w:szCs w:val="20"/>
              </w:rPr>
            </w:pPr>
            <w:r w:rsidRPr="002D09CE">
              <w:rPr>
                <w:rFonts w:eastAsia="Aptos"/>
                <w:sz w:val="20"/>
                <w:szCs w:val="20"/>
              </w:rPr>
              <w:t>To develop a stream of income and a process to provide financial support for exceptionally complex cases, requiring ‘hardship financial/ social support’.</w:t>
            </w:r>
          </w:p>
        </w:tc>
        <w:tc>
          <w:tcPr>
            <w:tcW w:w="4396" w:type="dxa"/>
          </w:tcPr>
          <w:p w14:paraId="1E128653" w14:textId="77777777" w:rsidR="00513A03" w:rsidRPr="002D09CE" w:rsidRDefault="00513A03" w:rsidP="00430131">
            <w:pPr>
              <w:rPr>
                <w:sz w:val="20"/>
                <w:szCs w:val="20"/>
              </w:rPr>
            </w:pPr>
            <w:r w:rsidRPr="002D09CE">
              <w:rPr>
                <w:rFonts w:eastAsia="Aptos"/>
                <w:sz w:val="20"/>
                <w:szCs w:val="20"/>
              </w:rPr>
              <w:t>3.1 Work with relevant staff in conjunction with hardship policy to secure a set fund for complex cases whose finances are limited</w:t>
            </w:r>
          </w:p>
        </w:tc>
        <w:tc>
          <w:tcPr>
            <w:tcW w:w="1983" w:type="dxa"/>
          </w:tcPr>
          <w:p w14:paraId="47B7D6F3" w14:textId="77777777" w:rsidR="00513A03" w:rsidRPr="002D09CE" w:rsidRDefault="00513A03" w:rsidP="00430131">
            <w:pPr>
              <w:rPr>
                <w:sz w:val="20"/>
                <w:szCs w:val="20"/>
              </w:rPr>
            </w:pPr>
            <w:r w:rsidRPr="002D09CE">
              <w:rPr>
                <w:rFonts w:eastAsia="Aptos"/>
                <w:sz w:val="20"/>
                <w:szCs w:val="20"/>
              </w:rPr>
              <w:t>Short term / immediate</w:t>
            </w:r>
          </w:p>
        </w:tc>
      </w:tr>
      <w:tr w:rsidR="00513A03" w:rsidRPr="009F2FDE" w14:paraId="255E40F4" w14:textId="77777777" w:rsidTr="00430131">
        <w:tc>
          <w:tcPr>
            <w:tcW w:w="709" w:type="dxa"/>
            <w:shd w:val="clear" w:color="auto" w:fill="FDE9D9" w:themeFill="accent6" w:themeFillTint="33"/>
          </w:tcPr>
          <w:p w14:paraId="7C925F85" w14:textId="77777777" w:rsidR="00513A03" w:rsidRPr="002D09CE" w:rsidRDefault="00513A03" w:rsidP="00430131">
            <w:pPr>
              <w:rPr>
                <w:b/>
                <w:bCs/>
                <w:color w:val="993300"/>
                <w:sz w:val="20"/>
                <w:szCs w:val="20"/>
              </w:rPr>
            </w:pPr>
            <w:r w:rsidRPr="002D09CE">
              <w:rPr>
                <w:rFonts w:eastAsia="Aptos"/>
                <w:b/>
                <w:bCs/>
                <w:color w:val="993300"/>
                <w:sz w:val="20"/>
                <w:szCs w:val="20"/>
              </w:rPr>
              <w:t>4</w:t>
            </w:r>
          </w:p>
        </w:tc>
        <w:tc>
          <w:tcPr>
            <w:tcW w:w="2692" w:type="dxa"/>
          </w:tcPr>
          <w:p w14:paraId="16675A25" w14:textId="77777777" w:rsidR="00513A03" w:rsidRPr="002D09CE" w:rsidRDefault="00513A03" w:rsidP="00430131">
            <w:pPr>
              <w:rPr>
                <w:sz w:val="20"/>
                <w:szCs w:val="20"/>
              </w:rPr>
            </w:pPr>
            <w:r w:rsidRPr="002D09CE">
              <w:rPr>
                <w:rFonts w:eastAsia="Aptos"/>
                <w:sz w:val="20"/>
                <w:szCs w:val="20"/>
              </w:rPr>
              <w:t>To ensure a set number of non-core posts can be supported financially in a sustainable manner</w:t>
            </w:r>
          </w:p>
          <w:p w14:paraId="15F9F56A" w14:textId="77777777" w:rsidR="00513A03" w:rsidRPr="002D09CE" w:rsidRDefault="00513A03" w:rsidP="00430131">
            <w:pPr>
              <w:rPr>
                <w:sz w:val="20"/>
                <w:szCs w:val="20"/>
              </w:rPr>
            </w:pPr>
          </w:p>
        </w:tc>
        <w:tc>
          <w:tcPr>
            <w:tcW w:w="4396" w:type="dxa"/>
          </w:tcPr>
          <w:p w14:paraId="3148B149" w14:textId="77777777" w:rsidR="00513A03" w:rsidRPr="002D09CE" w:rsidRDefault="00513A03" w:rsidP="00513A03">
            <w:pPr>
              <w:pStyle w:val="ListParagraph"/>
              <w:numPr>
                <w:ilvl w:val="1"/>
                <w:numId w:val="8"/>
              </w:numPr>
              <w:contextualSpacing/>
              <w:rPr>
                <w:sz w:val="20"/>
                <w:szCs w:val="20"/>
              </w:rPr>
            </w:pPr>
            <w:r w:rsidRPr="002D09CE">
              <w:rPr>
                <w:rFonts w:eastAsia="Aptos"/>
                <w:sz w:val="20"/>
                <w:szCs w:val="20"/>
              </w:rPr>
              <w:t>Ensure funding available for posts that are deemed necessary but not core funded in line with executive/ board requirements</w:t>
            </w:r>
          </w:p>
          <w:p w14:paraId="4CC605D3" w14:textId="77777777" w:rsidR="00513A03" w:rsidRPr="002D09CE" w:rsidRDefault="00513A03" w:rsidP="00513A03">
            <w:pPr>
              <w:pStyle w:val="ListParagraph"/>
              <w:numPr>
                <w:ilvl w:val="1"/>
                <w:numId w:val="8"/>
              </w:numPr>
              <w:contextualSpacing/>
              <w:rPr>
                <w:sz w:val="20"/>
                <w:szCs w:val="20"/>
              </w:rPr>
            </w:pPr>
            <w:r w:rsidRPr="002D09CE">
              <w:rPr>
                <w:rFonts w:eastAsia="Aptos"/>
                <w:sz w:val="20"/>
                <w:szCs w:val="20"/>
              </w:rPr>
              <w:t>Ensure fundraising income can support education and research and related posts</w:t>
            </w:r>
          </w:p>
          <w:p w14:paraId="63DA545B" w14:textId="77777777" w:rsidR="00513A03" w:rsidRPr="002D09CE" w:rsidRDefault="00513A03" w:rsidP="00513A03">
            <w:pPr>
              <w:pStyle w:val="ListParagraph"/>
              <w:numPr>
                <w:ilvl w:val="1"/>
                <w:numId w:val="8"/>
              </w:numPr>
              <w:contextualSpacing/>
              <w:rPr>
                <w:sz w:val="20"/>
                <w:szCs w:val="20"/>
              </w:rPr>
            </w:pPr>
            <w:r w:rsidRPr="002D09CE">
              <w:rPr>
                <w:rFonts w:eastAsia="Aptos"/>
                <w:sz w:val="20"/>
                <w:szCs w:val="20"/>
              </w:rPr>
              <w:t xml:space="preserve">Fund posts and activities to complement daycare services </w:t>
            </w:r>
          </w:p>
        </w:tc>
        <w:tc>
          <w:tcPr>
            <w:tcW w:w="1983" w:type="dxa"/>
          </w:tcPr>
          <w:p w14:paraId="49E305B1" w14:textId="77777777" w:rsidR="00513A03" w:rsidRPr="002D09CE" w:rsidRDefault="00513A03" w:rsidP="00430131">
            <w:pPr>
              <w:rPr>
                <w:sz w:val="20"/>
                <w:szCs w:val="20"/>
              </w:rPr>
            </w:pPr>
            <w:r w:rsidRPr="002D09CE">
              <w:rPr>
                <w:rFonts w:eastAsia="Aptos"/>
                <w:sz w:val="20"/>
                <w:szCs w:val="20"/>
              </w:rPr>
              <w:t>Immediate / ongoing</w:t>
            </w:r>
          </w:p>
        </w:tc>
      </w:tr>
      <w:tr w:rsidR="00513A03" w:rsidRPr="009F2FDE" w14:paraId="2C657E79" w14:textId="77777777" w:rsidTr="00430131">
        <w:tc>
          <w:tcPr>
            <w:tcW w:w="709" w:type="dxa"/>
            <w:shd w:val="clear" w:color="auto" w:fill="FDE9D9" w:themeFill="accent6" w:themeFillTint="33"/>
          </w:tcPr>
          <w:p w14:paraId="2BEE8877" w14:textId="77777777" w:rsidR="00513A03" w:rsidRPr="002D09CE" w:rsidRDefault="00513A03" w:rsidP="00430131">
            <w:pPr>
              <w:rPr>
                <w:b/>
                <w:bCs/>
                <w:color w:val="993300"/>
                <w:sz w:val="20"/>
                <w:szCs w:val="20"/>
              </w:rPr>
            </w:pPr>
            <w:r w:rsidRPr="002D09CE">
              <w:rPr>
                <w:rFonts w:eastAsia="Aptos"/>
                <w:b/>
                <w:bCs/>
                <w:color w:val="993300"/>
                <w:sz w:val="20"/>
                <w:szCs w:val="20"/>
              </w:rPr>
              <w:t>5</w:t>
            </w:r>
          </w:p>
        </w:tc>
        <w:tc>
          <w:tcPr>
            <w:tcW w:w="2692" w:type="dxa"/>
          </w:tcPr>
          <w:p w14:paraId="78F5FD11" w14:textId="77777777" w:rsidR="00513A03" w:rsidRPr="002D09CE" w:rsidRDefault="00513A03" w:rsidP="00430131">
            <w:pPr>
              <w:rPr>
                <w:sz w:val="20"/>
                <w:szCs w:val="20"/>
              </w:rPr>
            </w:pPr>
            <w:r w:rsidRPr="002D09CE">
              <w:rPr>
                <w:rFonts w:eastAsia="Aptos"/>
                <w:sz w:val="20"/>
                <w:szCs w:val="20"/>
              </w:rPr>
              <w:t>To develop community/ public inclusion in fundraising and volunteering</w:t>
            </w:r>
          </w:p>
          <w:p w14:paraId="0FFA6C17" w14:textId="77777777" w:rsidR="00513A03" w:rsidRPr="002D09CE" w:rsidRDefault="00513A03" w:rsidP="00430131">
            <w:pPr>
              <w:rPr>
                <w:sz w:val="20"/>
                <w:szCs w:val="20"/>
              </w:rPr>
            </w:pPr>
          </w:p>
        </w:tc>
        <w:tc>
          <w:tcPr>
            <w:tcW w:w="4396" w:type="dxa"/>
          </w:tcPr>
          <w:p w14:paraId="15116C06" w14:textId="77777777" w:rsidR="00513A03" w:rsidRPr="002D09CE" w:rsidRDefault="00513A03" w:rsidP="00513A03">
            <w:pPr>
              <w:pStyle w:val="ListParagraph"/>
              <w:numPr>
                <w:ilvl w:val="1"/>
                <w:numId w:val="9"/>
              </w:numPr>
              <w:contextualSpacing/>
              <w:rPr>
                <w:sz w:val="20"/>
                <w:szCs w:val="20"/>
              </w:rPr>
            </w:pPr>
            <w:r w:rsidRPr="002D09CE">
              <w:rPr>
                <w:rFonts w:eastAsia="Aptos"/>
                <w:sz w:val="20"/>
                <w:szCs w:val="20"/>
              </w:rPr>
              <w:t>develop a volunteer growth strategy</w:t>
            </w:r>
          </w:p>
          <w:p w14:paraId="5869E876" w14:textId="77777777" w:rsidR="00513A03" w:rsidRPr="002D09CE" w:rsidRDefault="00513A03" w:rsidP="00513A03">
            <w:pPr>
              <w:pStyle w:val="ListParagraph"/>
              <w:numPr>
                <w:ilvl w:val="1"/>
                <w:numId w:val="9"/>
              </w:numPr>
              <w:contextualSpacing/>
              <w:rPr>
                <w:sz w:val="20"/>
                <w:szCs w:val="20"/>
              </w:rPr>
            </w:pPr>
            <w:r w:rsidRPr="002D09CE">
              <w:rPr>
                <w:rFonts w:eastAsia="Aptos"/>
                <w:sz w:val="20"/>
                <w:szCs w:val="20"/>
              </w:rPr>
              <w:t>review volunteer policy and develop areas as required</w:t>
            </w:r>
          </w:p>
          <w:p w14:paraId="7207DF3D" w14:textId="77777777" w:rsidR="00513A03" w:rsidRPr="002D09CE" w:rsidRDefault="00513A03" w:rsidP="00513A03">
            <w:pPr>
              <w:pStyle w:val="ListParagraph"/>
              <w:numPr>
                <w:ilvl w:val="1"/>
                <w:numId w:val="9"/>
              </w:numPr>
              <w:contextualSpacing/>
              <w:rPr>
                <w:sz w:val="20"/>
                <w:szCs w:val="20"/>
              </w:rPr>
            </w:pPr>
            <w:r w:rsidRPr="002D09CE">
              <w:rPr>
                <w:rFonts w:eastAsia="Aptos"/>
                <w:sz w:val="20"/>
                <w:szCs w:val="20"/>
              </w:rPr>
              <w:t>enhance collaboration with volunteers</w:t>
            </w:r>
          </w:p>
          <w:p w14:paraId="330C2856" w14:textId="77777777" w:rsidR="00513A03" w:rsidRPr="002D09CE" w:rsidRDefault="00513A03" w:rsidP="00513A03">
            <w:pPr>
              <w:pStyle w:val="ListParagraph"/>
              <w:numPr>
                <w:ilvl w:val="1"/>
                <w:numId w:val="9"/>
              </w:numPr>
              <w:contextualSpacing/>
              <w:rPr>
                <w:sz w:val="20"/>
                <w:szCs w:val="20"/>
              </w:rPr>
            </w:pPr>
            <w:r w:rsidRPr="002D09CE">
              <w:rPr>
                <w:rFonts w:eastAsia="Aptos"/>
                <w:sz w:val="20"/>
                <w:szCs w:val="20"/>
              </w:rPr>
              <w:t>to ensure all voluntary activities are relevant and professional and support the core work of Marymount</w:t>
            </w:r>
          </w:p>
        </w:tc>
        <w:tc>
          <w:tcPr>
            <w:tcW w:w="1983" w:type="dxa"/>
          </w:tcPr>
          <w:p w14:paraId="74744AC6" w14:textId="77777777" w:rsidR="00513A03" w:rsidRPr="002D09CE" w:rsidRDefault="00513A03" w:rsidP="00430131">
            <w:pPr>
              <w:rPr>
                <w:sz w:val="20"/>
                <w:szCs w:val="20"/>
              </w:rPr>
            </w:pPr>
            <w:r w:rsidRPr="002D09CE">
              <w:rPr>
                <w:rFonts w:eastAsia="Aptos"/>
                <w:sz w:val="20"/>
                <w:szCs w:val="20"/>
              </w:rPr>
              <w:t>Long term</w:t>
            </w:r>
          </w:p>
        </w:tc>
      </w:tr>
      <w:tr w:rsidR="00513A03" w:rsidRPr="009F2FDE" w14:paraId="461F45FE" w14:textId="77777777" w:rsidTr="00430131">
        <w:tc>
          <w:tcPr>
            <w:tcW w:w="709" w:type="dxa"/>
            <w:shd w:val="clear" w:color="auto" w:fill="FDE9D9" w:themeFill="accent6" w:themeFillTint="33"/>
          </w:tcPr>
          <w:p w14:paraId="4CB1BB34" w14:textId="77777777" w:rsidR="00513A03" w:rsidRPr="002D09CE" w:rsidRDefault="00513A03" w:rsidP="00430131">
            <w:pPr>
              <w:rPr>
                <w:b/>
                <w:bCs/>
                <w:color w:val="993300"/>
                <w:sz w:val="20"/>
                <w:szCs w:val="20"/>
              </w:rPr>
            </w:pPr>
            <w:r w:rsidRPr="002D09CE">
              <w:rPr>
                <w:rFonts w:eastAsia="Aptos"/>
                <w:b/>
                <w:bCs/>
                <w:color w:val="993300"/>
                <w:sz w:val="20"/>
                <w:szCs w:val="20"/>
              </w:rPr>
              <w:t>6</w:t>
            </w:r>
          </w:p>
        </w:tc>
        <w:tc>
          <w:tcPr>
            <w:tcW w:w="2692" w:type="dxa"/>
          </w:tcPr>
          <w:p w14:paraId="59678C29" w14:textId="77777777" w:rsidR="00513A03" w:rsidRPr="002D09CE" w:rsidRDefault="00513A03" w:rsidP="00430131">
            <w:pPr>
              <w:rPr>
                <w:sz w:val="20"/>
                <w:szCs w:val="20"/>
              </w:rPr>
            </w:pPr>
            <w:r w:rsidRPr="002D09CE">
              <w:rPr>
                <w:rFonts w:eastAsia="Aptos"/>
                <w:sz w:val="20"/>
                <w:szCs w:val="20"/>
              </w:rPr>
              <w:t>To ensure an income stream for larger capex projects, stand-alone projects, for innovation and research and to enable the Marymount strategy to progress</w:t>
            </w:r>
          </w:p>
          <w:p w14:paraId="7478EBAA" w14:textId="77777777" w:rsidR="00513A03" w:rsidRPr="002D09CE" w:rsidRDefault="00513A03" w:rsidP="00430131">
            <w:pPr>
              <w:rPr>
                <w:sz w:val="20"/>
                <w:szCs w:val="20"/>
              </w:rPr>
            </w:pPr>
          </w:p>
        </w:tc>
        <w:tc>
          <w:tcPr>
            <w:tcW w:w="4396" w:type="dxa"/>
          </w:tcPr>
          <w:p w14:paraId="5DF5D2BD" w14:textId="77777777" w:rsidR="00513A03" w:rsidRPr="002D09CE" w:rsidRDefault="00513A03" w:rsidP="00513A03">
            <w:pPr>
              <w:pStyle w:val="ListParagraph"/>
              <w:numPr>
                <w:ilvl w:val="1"/>
                <w:numId w:val="10"/>
              </w:numPr>
              <w:contextualSpacing/>
              <w:rPr>
                <w:sz w:val="20"/>
                <w:szCs w:val="20"/>
              </w:rPr>
            </w:pPr>
            <w:r w:rsidRPr="002D09CE">
              <w:rPr>
                <w:rFonts w:eastAsia="Aptos"/>
                <w:sz w:val="20"/>
                <w:szCs w:val="20"/>
              </w:rPr>
              <w:t>Capital expenditure requirements are 1-&gt;3 million per year every year</w:t>
            </w:r>
          </w:p>
          <w:p w14:paraId="3AA291C6" w14:textId="77777777" w:rsidR="00513A03" w:rsidRPr="002D09CE" w:rsidRDefault="00513A03" w:rsidP="00513A03">
            <w:pPr>
              <w:pStyle w:val="ListParagraph"/>
              <w:numPr>
                <w:ilvl w:val="1"/>
                <w:numId w:val="10"/>
              </w:numPr>
              <w:contextualSpacing/>
              <w:rPr>
                <w:sz w:val="20"/>
                <w:szCs w:val="20"/>
              </w:rPr>
            </w:pPr>
            <w:r w:rsidRPr="002D09CE">
              <w:rPr>
                <w:rFonts w:eastAsia="Aptos"/>
                <w:sz w:val="20"/>
                <w:szCs w:val="20"/>
              </w:rPr>
              <w:t>work with exec to ensure financial requirements of same</w:t>
            </w:r>
          </w:p>
          <w:p w14:paraId="09BF2F1A" w14:textId="77777777" w:rsidR="00513A03" w:rsidRPr="002D09CE" w:rsidRDefault="00513A03" w:rsidP="00513A03">
            <w:pPr>
              <w:pStyle w:val="ListParagraph"/>
              <w:numPr>
                <w:ilvl w:val="1"/>
                <w:numId w:val="10"/>
              </w:numPr>
              <w:contextualSpacing/>
              <w:rPr>
                <w:sz w:val="20"/>
                <w:szCs w:val="20"/>
              </w:rPr>
            </w:pPr>
            <w:r w:rsidRPr="002D09CE">
              <w:rPr>
                <w:rFonts w:eastAsia="Aptos"/>
                <w:sz w:val="20"/>
                <w:szCs w:val="20"/>
              </w:rPr>
              <w:t>Work with exec to ensure communications for the public around fundraising related projects</w:t>
            </w:r>
          </w:p>
          <w:p w14:paraId="067EA794" w14:textId="77777777" w:rsidR="00513A03" w:rsidRPr="002D09CE" w:rsidRDefault="00513A03" w:rsidP="00513A03">
            <w:pPr>
              <w:pStyle w:val="ListParagraph"/>
              <w:numPr>
                <w:ilvl w:val="1"/>
                <w:numId w:val="10"/>
              </w:numPr>
              <w:contextualSpacing/>
              <w:rPr>
                <w:sz w:val="20"/>
                <w:szCs w:val="20"/>
              </w:rPr>
            </w:pPr>
            <w:r w:rsidRPr="002D09CE">
              <w:rPr>
                <w:rFonts w:eastAsia="Aptos"/>
                <w:sz w:val="20"/>
                <w:szCs w:val="20"/>
              </w:rPr>
              <w:t>ensure new innovations / quality improvements and research are publicised on website</w:t>
            </w:r>
          </w:p>
          <w:p w14:paraId="43EF95E8" w14:textId="77777777" w:rsidR="00513A03" w:rsidRPr="002D09CE" w:rsidRDefault="00513A03" w:rsidP="00513A03">
            <w:pPr>
              <w:pStyle w:val="ListParagraph"/>
              <w:numPr>
                <w:ilvl w:val="1"/>
                <w:numId w:val="10"/>
              </w:numPr>
              <w:contextualSpacing/>
              <w:rPr>
                <w:sz w:val="20"/>
                <w:szCs w:val="20"/>
              </w:rPr>
            </w:pPr>
            <w:r w:rsidRPr="002D09CE">
              <w:rPr>
                <w:rFonts w:eastAsia="Aptos"/>
                <w:sz w:val="20"/>
                <w:szCs w:val="20"/>
              </w:rPr>
              <w:t>ensure transport needs for outreach work (e.g. car purchases)</w:t>
            </w:r>
          </w:p>
          <w:p w14:paraId="5956C783" w14:textId="77777777" w:rsidR="00513A03" w:rsidRPr="002D09CE" w:rsidRDefault="00513A03" w:rsidP="00513A03">
            <w:pPr>
              <w:pStyle w:val="ListParagraph"/>
              <w:numPr>
                <w:ilvl w:val="1"/>
                <w:numId w:val="10"/>
              </w:numPr>
              <w:contextualSpacing/>
              <w:rPr>
                <w:sz w:val="20"/>
                <w:szCs w:val="20"/>
              </w:rPr>
            </w:pPr>
            <w:r w:rsidRPr="002D09CE">
              <w:rPr>
                <w:rFonts w:eastAsia="Aptos"/>
                <w:sz w:val="20"/>
                <w:szCs w:val="20"/>
              </w:rPr>
              <w:t>ensure appropriate infrastructure to support patient and family services, always striving for the best possible care environments</w:t>
            </w:r>
          </w:p>
          <w:p w14:paraId="7130CB72" w14:textId="77777777" w:rsidR="00513A03" w:rsidRPr="002D09CE" w:rsidRDefault="00513A03" w:rsidP="00513A03">
            <w:pPr>
              <w:pStyle w:val="ListParagraph"/>
              <w:numPr>
                <w:ilvl w:val="1"/>
                <w:numId w:val="10"/>
              </w:numPr>
              <w:contextualSpacing/>
              <w:rPr>
                <w:sz w:val="20"/>
                <w:szCs w:val="20"/>
              </w:rPr>
            </w:pPr>
            <w:r w:rsidRPr="002D09CE">
              <w:rPr>
                <w:rFonts w:eastAsia="Aptos"/>
                <w:sz w:val="20"/>
                <w:szCs w:val="20"/>
              </w:rPr>
              <w:t>to enable funding for all related ESG work</w:t>
            </w:r>
          </w:p>
        </w:tc>
        <w:tc>
          <w:tcPr>
            <w:tcW w:w="1983" w:type="dxa"/>
          </w:tcPr>
          <w:p w14:paraId="77F9D2F7" w14:textId="77777777" w:rsidR="00513A03" w:rsidRPr="002D09CE" w:rsidRDefault="00513A03" w:rsidP="00430131">
            <w:pPr>
              <w:rPr>
                <w:sz w:val="20"/>
                <w:szCs w:val="20"/>
              </w:rPr>
            </w:pPr>
            <w:r w:rsidRPr="002D09CE">
              <w:rPr>
                <w:rFonts w:eastAsia="Aptos"/>
                <w:sz w:val="20"/>
                <w:szCs w:val="20"/>
              </w:rPr>
              <w:t>Immediate / ongoing</w:t>
            </w:r>
          </w:p>
        </w:tc>
      </w:tr>
      <w:tr w:rsidR="00513A03" w:rsidRPr="009F2FDE" w14:paraId="1D8E1146" w14:textId="77777777" w:rsidTr="00430131">
        <w:tc>
          <w:tcPr>
            <w:tcW w:w="709" w:type="dxa"/>
            <w:shd w:val="clear" w:color="auto" w:fill="FDE9D9" w:themeFill="accent6" w:themeFillTint="33"/>
          </w:tcPr>
          <w:p w14:paraId="38CCE948" w14:textId="77777777" w:rsidR="00513A03" w:rsidRPr="002D09CE" w:rsidRDefault="00513A03" w:rsidP="00430131">
            <w:pPr>
              <w:rPr>
                <w:b/>
                <w:bCs/>
                <w:color w:val="993300"/>
                <w:sz w:val="20"/>
                <w:szCs w:val="20"/>
              </w:rPr>
            </w:pPr>
            <w:r w:rsidRPr="002D09CE">
              <w:rPr>
                <w:rFonts w:eastAsia="Aptos"/>
                <w:b/>
                <w:bCs/>
                <w:color w:val="993300"/>
                <w:sz w:val="20"/>
                <w:szCs w:val="20"/>
              </w:rPr>
              <w:t>7</w:t>
            </w:r>
          </w:p>
        </w:tc>
        <w:tc>
          <w:tcPr>
            <w:tcW w:w="2692" w:type="dxa"/>
          </w:tcPr>
          <w:p w14:paraId="281E37FD" w14:textId="77777777" w:rsidR="00513A03" w:rsidRPr="002D09CE" w:rsidRDefault="00513A03" w:rsidP="00430131">
            <w:pPr>
              <w:rPr>
                <w:sz w:val="20"/>
                <w:szCs w:val="20"/>
              </w:rPr>
            </w:pPr>
            <w:r w:rsidRPr="002D09CE">
              <w:rPr>
                <w:rFonts w:eastAsia="Aptos"/>
                <w:sz w:val="20"/>
                <w:szCs w:val="20"/>
              </w:rPr>
              <w:t>To ensure a positive professional experience for all donors and supporters of Marymount</w:t>
            </w:r>
          </w:p>
          <w:p w14:paraId="2A56ADAB" w14:textId="77777777" w:rsidR="00513A03" w:rsidRPr="002D09CE" w:rsidRDefault="00513A03" w:rsidP="00430131">
            <w:pPr>
              <w:rPr>
                <w:sz w:val="20"/>
                <w:szCs w:val="20"/>
              </w:rPr>
            </w:pPr>
          </w:p>
        </w:tc>
        <w:tc>
          <w:tcPr>
            <w:tcW w:w="4396" w:type="dxa"/>
          </w:tcPr>
          <w:p w14:paraId="5A513AE8" w14:textId="77777777" w:rsidR="00513A03" w:rsidRPr="002D09CE" w:rsidRDefault="00513A03" w:rsidP="00513A03">
            <w:pPr>
              <w:pStyle w:val="ListParagraph"/>
              <w:numPr>
                <w:ilvl w:val="1"/>
                <w:numId w:val="11"/>
              </w:numPr>
              <w:contextualSpacing/>
              <w:rPr>
                <w:sz w:val="20"/>
                <w:szCs w:val="20"/>
              </w:rPr>
            </w:pPr>
            <w:r w:rsidRPr="002D09CE">
              <w:rPr>
                <w:rFonts w:eastAsia="Aptos"/>
                <w:sz w:val="20"/>
                <w:szCs w:val="20"/>
              </w:rPr>
              <w:t>Review our donor experience, identify gaps and enhance the experience</w:t>
            </w:r>
          </w:p>
          <w:p w14:paraId="794DC28D" w14:textId="77777777" w:rsidR="00513A03" w:rsidRPr="002D09CE" w:rsidRDefault="00513A03" w:rsidP="00513A03">
            <w:pPr>
              <w:pStyle w:val="ListParagraph"/>
              <w:numPr>
                <w:ilvl w:val="1"/>
                <w:numId w:val="11"/>
              </w:numPr>
              <w:contextualSpacing/>
              <w:rPr>
                <w:sz w:val="20"/>
                <w:szCs w:val="20"/>
              </w:rPr>
            </w:pPr>
            <w:r w:rsidRPr="002D09CE">
              <w:rPr>
                <w:rFonts w:eastAsia="Aptos"/>
                <w:sz w:val="20"/>
                <w:szCs w:val="20"/>
              </w:rPr>
              <w:t>Review website and update regularly</w:t>
            </w:r>
          </w:p>
          <w:p w14:paraId="372D871F" w14:textId="77777777" w:rsidR="00513A03" w:rsidRPr="002D09CE" w:rsidRDefault="00513A03" w:rsidP="00513A03">
            <w:pPr>
              <w:pStyle w:val="ListParagraph"/>
              <w:numPr>
                <w:ilvl w:val="1"/>
                <w:numId w:val="11"/>
              </w:numPr>
              <w:contextualSpacing/>
              <w:rPr>
                <w:sz w:val="20"/>
                <w:szCs w:val="20"/>
              </w:rPr>
            </w:pPr>
            <w:r w:rsidRPr="002D09CE">
              <w:rPr>
                <w:rFonts w:eastAsia="Aptos"/>
                <w:sz w:val="20"/>
                <w:szCs w:val="20"/>
              </w:rPr>
              <w:t>identify gaps and enhance the experience further</w:t>
            </w:r>
          </w:p>
          <w:p w14:paraId="68A57951" w14:textId="77777777" w:rsidR="00513A03" w:rsidRPr="002D09CE" w:rsidRDefault="00513A03" w:rsidP="00513A03">
            <w:pPr>
              <w:pStyle w:val="ListParagraph"/>
              <w:numPr>
                <w:ilvl w:val="1"/>
                <w:numId w:val="11"/>
              </w:numPr>
              <w:contextualSpacing/>
              <w:rPr>
                <w:sz w:val="20"/>
                <w:szCs w:val="20"/>
              </w:rPr>
            </w:pPr>
            <w:r w:rsidRPr="002D09CE">
              <w:rPr>
                <w:rFonts w:eastAsia="Aptos"/>
                <w:sz w:val="20"/>
                <w:szCs w:val="20"/>
              </w:rPr>
              <w:t>undertake survey of public perceptions of fundraising for Marymount</w:t>
            </w:r>
          </w:p>
          <w:p w14:paraId="2F2BF616" w14:textId="77777777" w:rsidR="00513A03" w:rsidRPr="002D09CE" w:rsidRDefault="00513A03" w:rsidP="00513A03">
            <w:pPr>
              <w:pStyle w:val="ListParagraph"/>
              <w:numPr>
                <w:ilvl w:val="1"/>
                <w:numId w:val="11"/>
              </w:numPr>
              <w:contextualSpacing/>
              <w:rPr>
                <w:sz w:val="20"/>
                <w:szCs w:val="20"/>
              </w:rPr>
            </w:pPr>
            <w:r w:rsidRPr="002D09CE">
              <w:rPr>
                <w:rFonts w:eastAsia="Aptos"/>
                <w:sz w:val="20"/>
                <w:szCs w:val="20"/>
              </w:rPr>
              <w:t>Explore corporate sponsorship potential</w:t>
            </w:r>
          </w:p>
          <w:p w14:paraId="448C85C8" w14:textId="77777777" w:rsidR="00513A03" w:rsidRPr="002D09CE" w:rsidRDefault="00513A03" w:rsidP="00513A03">
            <w:pPr>
              <w:pStyle w:val="ListParagraph"/>
              <w:numPr>
                <w:ilvl w:val="1"/>
                <w:numId w:val="11"/>
              </w:numPr>
              <w:contextualSpacing/>
              <w:rPr>
                <w:sz w:val="20"/>
                <w:szCs w:val="20"/>
              </w:rPr>
            </w:pPr>
            <w:r w:rsidRPr="002D09CE">
              <w:rPr>
                <w:rFonts w:eastAsia="Aptos"/>
                <w:sz w:val="20"/>
                <w:szCs w:val="20"/>
              </w:rPr>
              <w:t>Explore potential ambassadorial support/s</w:t>
            </w:r>
          </w:p>
        </w:tc>
        <w:tc>
          <w:tcPr>
            <w:tcW w:w="1983" w:type="dxa"/>
          </w:tcPr>
          <w:p w14:paraId="5DF510B0" w14:textId="77777777" w:rsidR="00513A03" w:rsidRPr="002D09CE" w:rsidRDefault="00513A03" w:rsidP="00430131">
            <w:pPr>
              <w:rPr>
                <w:sz w:val="20"/>
                <w:szCs w:val="20"/>
              </w:rPr>
            </w:pPr>
            <w:r w:rsidRPr="002D09CE">
              <w:rPr>
                <w:rFonts w:eastAsia="Aptos"/>
                <w:sz w:val="20"/>
                <w:szCs w:val="20"/>
              </w:rPr>
              <w:t>Short term / ongoing</w:t>
            </w:r>
          </w:p>
        </w:tc>
      </w:tr>
      <w:tr w:rsidR="00513A03" w:rsidRPr="009F2FDE" w14:paraId="28839902" w14:textId="77777777" w:rsidTr="00430131">
        <w:tc>
          <w:tcPr>
            <w:tcW w:w="709" w:type="dxa"/>
            <w:shd w:val="clear" w:color="auto" w:fill="FDE9D9" w:themeFill="accent6" w:themeFillTint="33"/>
          </w:tcPr>
          <w:p w14:paraId="6E395C08" w14:textId="77777777" w:rsidR="00513A03" w:rsidRPr="002D09CE" w:rsidRDefault="00513A03" w:rsidP="00430131">
            <w:pPr>
              <w:rPr>
                <w:b/>
                <w:bCs/>
                <w:color w:val="993300"/>
                <w:sz w:val="20"/>
                <w:szCs w:val="20"/>
              </w:rPr>
            </w:pPr>
            <w:r w:rsidRPr="002D09CE">
              <w:rPr>
                <w:rFonts w:eastAsia="Aptos"/>
                <w:b/>
                <w:bCs/>
                <w:color w:val="993300"/>
                <w:sz w:val="20"/>
                <w:szCs w:val="20"/>
              </w:rPr>
              <w:t>8</w:t>
            </w:r>
          </w:p>
        </w:tc>
        <w:tc>
          <w:tcPr>
            <w:tcW w:w="2692" w:type="dxa"/>
          </w:tcPr>
          <w:p w14:paraId="298C8230" w14:textId="77777777" w:rsidR="00513A03" w:rsidRPr="002D09CE" w:rsidRDefault="00513A03" w:rsidP="00430131">
            <w:pPr>
              <w:rPr>
                <w:sz w:val="20"/>
                <w:szCs w:val="20"/>
              </w:rPr>
            </w:pPr>
            <w:r w:rsidRPr="002D09CE">
              <w:rPr>
                <w:rFonts w:eastAsia="Aptos"/>
                <w:sz w:val="20"/>
                <w:szCs w:val="20"/>
              </w:rPr>
              <w:t>To ensure legislative compliance and related transparency</w:t>
            </w:r>
          </w:p>
          <w:p w14:paraId="0E6B38D7" w14:textId="77777777" w:rsidR="00513A03" w:rsidRPr="002D09CE" w:rsidRDefault="00513A03" w:rsidP="00430131">
            <w:pPr>
              <w:rPr>
                <w:sz w:val="20"/>
                <w:szCs w:val="20"/>
              </w:rPr>
            </w:pPr>
          </w:p>
        </w:tc>
        <w:tc>
          <w:tcPr>
            <w:tcW w:w="4396" w:type="dxa"/>
          </w:tcPr>
          <w:p w14:paraId="42705BEF" w14:textId="77777777" w:rsidR="00513A03" w:rsidRPr="002D09CE" w:rsidRDefault="00513A03" w:rsidP="00513A03">
            <w:pPr>
              <w:pStyle w:val="ListParagraph"/>
              <w:numPr>
                <w:ilvl w:val="1"/>
                <w:numId w:val="6"/>
              </w:numPr>
              <w:contextualSpacing/>
              <w:rPr>
                <w:sz w:val="20"/>
                <w:szCs w:val="20"/>
              </w:rPr>
            </w:pPr>
            <w:r w:rsidRPr="002D09CE">
              <w:rPr>
                <w:rFonts w:eastAsia="Aptos"/>
                <w:sz w:val="20"/>
                <w:szCs w:val="20"/>
              </w:rPr>
              <w:t>internal audits vs charity regulations</w:t>
            </w:r>
          </w:p>
          <w:p w14:paraId="6B83B2C4" w14:textId="77777777" w:rsidR="00513A03" w:rsidRPr="002D09CE" w:rsidRDefault="00513A03" w:rsidP="00513A03">
            <w:pPr>
              <w:pStyle w:val="ListParagraph"/>
              <w:numPr>
                <w:ilvl w:val="1"/>
                <w:numId w:val="6"/>
              </w:numPr>
              <w:contextualSpacing/>
              <w:rPr>
                <w:sz w:val="20"/>
                <w:szCs w:val="20"/>
              </w:rPr>
            </w:pPr>
            <w:r w:rsidRPr="002D09CE">
              <w:rPr>
                <w:rFonts w:eastAsia="Aptos"/>
                <w:sz w:val="20"/>
                <w:szCs w:val="20"/>
              </w:rPr>
              <w:t>promote our triple lock status</w:t>
            </w:r>
          </w:p>
          <w:p w14:paraId="366E0C54" w14:textId="77777777" w:rsidR="00513A03" w:rsidRPr="002D09CE" w:rsidRDefault="00513A03" w:rsidP="00513A03">
            <w:pPr>
              <w:pStyle w:val="ListParagraph"/>
              <w:numPr>
                <w:ilvl w:val="1"/>
                <w:numId w:val="6"/>
              </w:numPr>
              <w:contextualSpacing/>
              <w:rPr>
                <w:sz w:val="20"/>
                <w:szCs w:val="20"/>
              </w:rPr>
            </w:pPr>
            <w:r w:rsidRPr="002D09CE">
              <w:rPr>
                <w:rFonts w:eastAsia="Aptos"/>
                <w:sz w:val="20"/>
                <w:szCs w:val="20"/>
              </w:rPr>
              <w:t>website updates highlighting best charity practice</w:t>
            </w:r>
          </w:p>
        </w:tc>
        <w:tc>
          <w:tcPr>
            <w:tcW w:w="1983" w:type="dxa"/>
          </w:tcPr>
          <w:p w14:paraId="36DBC78F" w14:textId="77777777" w:rsidR="00513A03" w:rsidRPr="002D09CE" w:rsidRDefault="00513A03" w:rsidP="00430131">
            <w:pPr>
              <w:rPr>
                <w:sz w:val="20"/>
                <w:szCs w:val="20"/>
              </w:rPr>
            </w:pPr>
            <w:r w:rsidRPr="002D09CE">
              <w:rPr>
                <w:rFonts w:eastAsia="Aptos"/>
                <w:sz w:val="20"/>
                <w:szCs w:val="20"/>
              </w:rPr>
              <w:t>Ongoing</w:t>
            </w:r>
          </w:p>
        </w:tc>
      </w:tr>
      <w:tr w:rsidR="00513A03" w:rsidRPr="009F2FDE" w14:paraId="5CDD58DD" w14:textId="77777777" w:rsidTr="00430131">
        <w:tc>
          <w:tcPr>
            <w:tcW w:w="709" w:type="dxa"/>
            <w:shd w:val="clear" w:color="auto" w:fill="FDE9D9" w:themeFill="accent6" w:themeFillTint="33"/>
          </w:tcPr>
          <w:p w14:paraId="5B91B652" w14:textId="77777777" w:rsidR="00513A03" w:rsidRPr="002D09CE" w:rsidRDefault="00513A03" w:rsidP="00430131">
            <w:pPr>
              <w:rPr>
                <w:b/>
                <w:bCs/>
                <w:color w:val="993300"/>
                <w:sz w:val="20"/>
                <w:szCs w:val="20"/>
              </w:rPr>
            </w:pPr>
            <w:r w:rsidRPr="002D09CE">
              <w:rPr>
                <w:rFonts w:eastAsia="Aptos"/>
                <w:b/>
                <w:bCs/>
                <w:color w:val="993300"/>
                <w:sz w:val="20"/>
                <w:szCs w:val="20"/>
              </w:rPr>
              <w:t>9</w:t>
            </w:r>
          </w:p>
        </w:tc>
        <w:tc>
          <w:tcPr>
            <w:tcW w:w="2692" w:type="dxa"/>
          </w:tcPr>
          <w:p w14:paraId="000C4468" w14:textId="77777777" w:rsidR="00513A03" w:rsidRPr="002D09CE" w:rsidRDefault="00513A03" w:rsidP="00430131">
            <w:pPr>
              <w:rPr>
                <w:sz w:val="20"/>
                <w:szCs w:val="20"/>
              </w:rPr>
            </w:pPr>
            <w:r w:rsidRPr="002D09CE">
              <w:rPr>
                <w:rFonts w:eastAsia="Aptos"/>
                <w:sz w:val="20"/>
                <w:szCs w:val="20"/>
              </w:rPr>
              <w:t>To support competence and wellbeing of the staff in line with Marymount ethos and culture, in order that they can be best placed to deliver the best possible care</w:t>
            </w:r>
          </w:p>
        </w:tc>
        <w:tc>
          <w:tcPr>
            <w:tcW w:w="4396" w:type="dxa"/>
          </w:tcPr>
          <w:p w14:paraId="71A8EA5F" w14:textId="77777777" w:rsidR="00513A03" w:rsidRPr="002D09CE" w:rsidRDefault="00513A03" w:rsidP="00513A03">
            <w:pPr>
              <w:pStyle w:val="ListParagraph"/>
              <w:numPr>
                <w:ilvl w:val="1"/>
                <w:numId w:val="12"/>
              </w:numPr>
              <w:contextualSpacing/>
              <w:rPr>
                <w:sz w:val="20"/>
                <w:szCs w:val="20"/>
              </w:rPr>
            </w:pPr>
            <w:r w:rsidRPr="002D09CE">
              <w:rPr>
                <w:rFonts w:eastAsia="Aptos"/>
                <w:sz w:val="20"/>
                <w:szCs w:val="20"/>
              </w:rPr>
              <w:t>support the financing of staff related initiatives</w:t>
            </w:r>
          </w:p>
          <w:p w14:paraId="78343F3D" w14:textId="77777777" w:rsidR="00513A03" w:rsidRPr="002D09CE" w:rsidRDefault="00513A03" w:rsidP="00513A03">
            <w:pPr>
              <w:pStyle w:val="ListParagraph"/>
              <w:numPr>
                <w:ilvl w:val="1"/>
                <w:numId w:val="12"/>
              </w:numPr>
              <w:contextualSpacing/>
              <w:rPr>
                <w:sz w:val="20"/>
                <w:szCs w:val="20"/>
              </w:rPr>
            </w:pPr>
            <w:r w:rsidRPr="002D09CE">
              <w:rPr>
                <w:rFonts w:eastAsia="Aptos"/>
                <w:sz w:val="20"/>
                <w:szCs w:val="20"/>
              </w:rPr>
              <w:t>support funding for staff education/training as required</w:t>
            </w:r>
          </w:p>
          <w:p w14:paraId="076AF10A" w14:textId="77777777" w:rsidR="00513A03" w:rsidRPr="002D09CE" w:rsidRDefault="00513A03" w:rsidP="00513A03">
            <w:pPr>
              <w:pStyle w:val="ListParagraph"/>
              <w:numPr>
                <w:ilvl w:val="1"/>
                <w:numId w:val="12"/>
              </w:numPr>
              <w:contextualSpacing/>
              <w:rPr>
                <w:sz w:val="20"/>
                <w:szCs w:val="20"/>
              </w:rPr>
            </w:pPr>
            <w:r w:rsidRPr="002D09CE">
              <w:rPr>
                <w:rFonts w:eastAsia="Aptos"/>
                <w:sz w:val="20"/>
                <w:szCs w:val="20"/>
              </w:rPr>
              <w:t>support staff wellbeing initiatives / hospice events</w:t>
            </w:r>
          </w:p>
          <w:p w14:paraId="2CADB313" w14:textId="77777777" w:rsidR="00513A03" w:rsidRPr="002D09CE" w:rsidRDefault="00513A03" w:rsidP="00513A03">
            <w:pPr>
              <w:pStyle w:val="ListParagraph"/>
              <w:numPr>
                <w:ilvl w:val="1"/>
                <w:numId w:val="12"/>
              </w:numPr>
              <w:contextualSpacing/>
              <w:rPr>
                <w:sz w:val="20"/>
                <w:szCs w:val="20"/>
              </w:rPr>
            </w:pPr>
            <w:r w:rsidRPr="002D09CE">
              <w:rPr>
                <w:rFonts w:eastAsia="Aptos"/>
                <w:sz w:val="20"/>
                <w:szCs w:val="20"/>
              </w:rPr>
              <w:t>undertake any activities for staff that is related to prevention of burnout</w:t>
            </w:r>
          </w:p>
          <w:p w14:paraId="1EBB9A59" w14:textId="77777777" w:rsidR="00513A03" w:rsidRPr="002D09CE" w:rsidRDefault="00513A03" w:rsidP="00513A03">
            <w:pPr>
              <w:pStyle w:val="ListParagraph"/>
              <w:numPr>
                <w:ilvl w:val="1"/>
                <w:numId w:val="12"/>
              </w:numPr>
              <w:contextualSpacing/>
              <w:rPr>
                <w:sz w:val="20"/>
                <w:szCs w:val="20"/>
              </w:rPr>
            </w:pPr>
            <w:r w:rsidRPr="002D09CE">
              <w:rPr>
                <w:rFonts w:eastAsia="Aptos"/>
                <w:sz w:val="20"/>
                <w:szCs w:val="20"/>
              </w:rPr>
              <w:t>to support funding of any elements of the HR wellbeing strategy as required</w:t>
            </w:r>
          </w:p>
        </w:tc>
        <w:tc>
          <w:tcPr>
            <w:tcW w:w="1983" w:type="dxa"/>
          </w:tcPr>
          <w:p w14:paraId="1E1D15E3" w14:textId="77777777" w:rsidR="00513A03" w:rsidRPr="002D09CE" w:rsidRDefault="00513A03" w:rsidP="00430131">
            <w:pPr>
              <w:rPr>
                <w:sz w:val="20"/>
                <w:szCs w:val="20"/>
              </w:rPr>
            </w:pPr>
            <w:r w:rsidRPr="002D09CE">
              <w:rPr>
                <w:rFonts w:eastAsia="Aptos"/>
                <w:sz w:val="20"/>
                <w:szCs w:val="20"/>
              </w:rPr>
              <w:t>ongoing</w:t>
            </w:r>
          </w:p>
        </w:tc>
      </w:tr>
      <w:tr w:rsidR="00513A03" w:rsidRPr="009F2FDE" w14:paraId="5BD4C7A0" w14:textId="77777777" w:rsidTr="00430131">
        <w:tc>
          <w:tcPr>
            <w:tcW w:w="709" w:type="dxa"/>
            <w:shd w:val="clear" w:color="auto" w:fill="FDE9D9" w:themeFill="accent6" w:themeFillTint="33"/>
          </w:tcPr>
          <w:p w14:paraId="32A7075A" w14:textId="77777777" w:rsidR="00513A03" w:rsidRPr="002D09CE" w:rsidRDefault="00513A03" w:rsidP="00430131">
            <w:pPr>
              <w:rPr>
                <w:b/>
                <w:bCs/>
                <w:color w:val="993300"/>
                <w:sz w:val="20"/>
                <w:szCs w:val="20"/>
              </w:rPr>
            </w:pPr>
            <w:r w:rsidRPr="002D09CE">
              <w:rPr>
                <w:rFonts w:eastAsia="Aptos"/>
                <w:b/>
                <w:bCs/>
                <w:color w:val="993300"/>
                <w:sz w:val="20"/>
                <w:szCs w:val="20"/>
              </w:rPr>
              <w:lastRenderedPageBreak/>
              <w:t>10</w:t>
            </w:r>
          </w:p>
        </w:tc>
        <w:tc>
          <w:tcPr>
            <w:tcW w:w="2692" w:type="dxa"/>
          </w:tcPr>
          <w:p w14:paraId="4CD1E535" w14:textId="77777777" w:rsidR="00513A03" w:rsidRPr="002D09CE" w:rsidRDefault="00513A03" w:rsidP="00430131">
            <w:pPr>
              <w:rPr>
                <w:sz w:val="20"/>
                <w:szCs w:val="20"/>
              </w:rPr>
            </w:pPr>
            <w:r w:rsidRPr="002D09CE">
              <w:rPr>
                <w:rFonts w:eastAsia="Aptos"/>
                <w:sz w:val="20"/>
                <w:szCs w:val="20"/>
              </w:rPr>
              <w:t>To develop fundraising systems and structure</w:t>
            </w:r>
          </w:p>
        </w:tc>
        <w:tc>
          <w:tcPr>
            <w:tcW w:w="4396" w:type="dxa"/>
          </w:tcPr>
          <w:p w14:paraId="2B52F01B" w14:textId="77777777" w:rsidR="00513A03" w:rsidRPr="002D09CE" w:rsidRDefault="00513A03" w:rsidP="00513A03">
            <w:pPr>
              <w:pStyle w:val="ListParagraph"/>
              <w:numPr>
                <w:ilvl w:val="1"/>
                <w:numId w:val="13"/>
              </w:numPr>
              <w:contextualSpacing/>
              <w:rPr>
                <w:sz w:val="20"/>
                <w:szCs w:val="20"/>
              </w:rPr>
            </w:pPr>
            <w:r w:rsidRPr="002D09CE">
              <w:rPr>
                <w:rFonts w:eastAsia="Aptos"/>
                <w:sz w:val="20"/>
                <w:szCs w:val="20"/>
              </w:rPr>
              <w:t xml:space="preserve"> undertake a project to introduce a Customer Relationship Management (CRM) system for fundraising with a project manager</w:t>
            </w:r>
          </w:p>
          <w:p w14:paraId="27D20B16" w14:textId="77777777" w:rsidR="00513A03" w:rsidRPr="002D09CE" w:rsidRDefault="00513A03" w:rsidP="00513A03">
            <w:pPr>
              <w:pStyle w:val="ListParagraph"/>
              <w:numPr>
                <w:ilvl w:val="1"/>
                <w:numId w:val="13"/>
              </w:numPr>
              <w:contextualSpacing/>
              <w:rPr>
                <w:sz w:val="20"/>
                <w:szCs w:val="20"/>
              </w:rPr>
            </w:pPr>
            <w:r w:rsidRPr="002D09CE">
              <w:rPr>
                <w:rFonts w:eastAsia="Aptos"/>
                <w:sz w:val="20"/>
                <w:szCs w:val="20"/>
              </w:rPr>
              <w:t xml:space="preserve"> to develop the team in terms of communication and bereavement management when dealing with donors</w:t>
            </w:r>
          </w:p>
        </w:tc>
        <w:tc>
          <w:tcPr>
            <w:tcW w:w="1983" w:type="dxa"/>
          </w:tcPr>
          <w:p w14:paraId="40000536" w14:textId="77777777" w:rsidR="00513A03" w:rsidRPr="002D09CE" w:rsidRDefault="00513A03" w:rsidP="00430131">
            <w:pPr>
              <w:rPr>
                <w:sz w:val="20"/>
                <w:szCs w:val="20"/>
              </w:rPr>
            </w:pPr>
            <w:r w:rsidRPr="002D09CE">
              <w:rPr>
                <w:rFonts w:eastAsia="Aptos"/>
                <w:sz w:val="20"/>
                <w:szCs w:val="20"/>
              </w:rPr>
              <w:t>ongoing</w:t>
            </w:r>
          </w:p>
        </w:tc>
      </w:tr>
    </w:tbl>
    <w:p w14:paraId="0CFB2B41" w14:textId="77777777" w:rsidR="00513A03" w:rsidRPr="002D09CE" w:rsidRDefault="00513A03" w:rsidP="00513A03">
      <w:pPr>
        <w:rPr>
          <w:sz w:val="20"/>
          <w:szCs w:val="20"/>
        </w:rPr>
      </w:pPr>
    </w:p>
    <w:p w14:paraId="146F3C36" w14:textId="77777777" w:rsidR="00513A03" w:rsidRPr="00DE67B5" w:rsidRDefault="00513A03" w:rsidP="00DE67B5">
      <w:pPr>
        <w:pStyle w:val="ListParagraph"/>
        <w:rPr>
          <w:sz w:val="24"/>
          <w:szCs w:val="24"/>
        </w:rPr>
      </w:pPr>
    </w:p>
    <w:p w14:paraId="0A5CF1EB" w14:textId="6F0D0468" w:rsidR="00AA18D6" w:rsidRPr="002D09CE" w:rsidRDefault="00DE67B5" w:rsidP="00DE67B5">
      <w:pPr>
        <w:rPr>
          <w:i/>
          <w:iCs/>
          <w:sz w:val="24"/>
          <w:szCs w:val="24"/>
        </w:rPr>
      </w:pPr>
      <w:r w:rsidRPr="002D09CE">
        <w:rPr>
          <w:i/>
          <w:iCs/>
          <w:sz w:val="24"/>
          <w:szCs w:val="24"/>
        </w:rPr>
        <w:t xml:space="preserve">Looking to the future, we're enhancing infrastructure and will have a focus on ESG, ensuring Marymount's long-term sustainability by reducing our energy consumption and our carbon footprint to </w:t>
      </w:r>
      <w:proofErr w:type="spellStart"/>
      <w:r w:rsidRPr="002D09CE">
        <w:rPr>
          <w:i/>
          <w:iCs/>
          <w:sz w:val="24"/>
          <w:szCs w:val="24"/>
        </w:rPr>
        <w:t>minimise</w:t>
      </w:r>
      <w:proofErr w:type="spellEnd"/>
      <w:r w:rsidRPr="002D09CE">
        <w:rPr>
          <w:i/>
          <w:iCs/>
          <w:sz w:val="24"/>
          <w:szCs w:val="24"/>
        </w:rPr>
        <w:t xml:space="preserve"> our impact on the environment.   Each of these methods is integral to our comprehensive fundraising strategy, enabling us to meet growing demands, invest in </w:t>
      </w:r>
      <w:r w:rsidR="003617EC" w:rsidRPr="002D09CE">
        <w:rPr>
          <w:i/>
          <w:iCs/>
          <w:sz w:val="24"/>
          <w:szCs w:val="24"/>
        </w:rPr>
        <w:t>innovation and</w:t>
      </w:r>
      <w:r w:rsidRPr="002D09CE">
        <w:rPr>
          <w:i/>
          <w:iCs/>
          <w:sz w:val="24"/>
          <w:szCs w:val="24"/>
        </w:rPr>
        <w:t xml:space="preserve"> infrastructure and continue providing the highest quality care to those who need it most.</w:t>
      </w:r>
    </w:p>
    <w:p w14:paraId="47EA5010" w14:textId="2FC1B0D3" w:rsidR="00DE67B5" w:rsidRPr="002D09CE" w:rsidRDefault="00AA18D6" w:rsidP="00DE67B5">
      <w:pPr>
        <w:rPr>
          <w:i/>
          <w:iCs/>
        </w:rPr>
      </w:pPr>
      <w:r w:rsidRPr="002D09CE">
        <w:rPr>
          <w:i/>
          <w:iCs/>
          <w:noProof/>
        </w:rPr>
        <w:drawing>
          <wp:anchor distT="0" distB="0" distL="114300" distR="114300" simplePos="0" relativeHeight="251663360" behindDoc="1" locked="0" layoutInCell="1" allowOverlap="1" wp14:anchorId="497B1F28" wp14:editId="6F92B8C1">
            <wp:simplePos x="0" y="0"/>
            <wp:positionH relativeFrom="column">
              <wp:posOffset>4381500</wp:posOffset>
            </wp:positionH>
            <wp:positionV relativeFrom="paragraph">
              <wp:posOffset>113666</wp:posOffset>
            </wp:positionV>
            <wp:extent cx="1019175" cy="706106"/>
            <wp:effectExtent l="0" t="0" r="0" b="0"/>
            <wp:wrapNone/>
            <wp:docPr id="32142117" name="Picture 3" descr="AIIHPC - The Palliative Hub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IHPC - The Palliative Hub Professio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0448" cy="706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37A37" w14:textId="34A95529" w:rsidR="00AA18D6" w:rsidRPr="00AA18D6" w:rsidRDefault="00AA18D6" w:rsidP="00AA18D6">
      <w:pPr>
        <w:rPr>
          <w:sz w:val="24"/>
        </w:rPr>
      </w:pPr>
      <w:r>
        <w:rPr>
          <w:noProof/>
        </w:rPr>
        <w:drawing>
          <wp:anchor distT="0" distB="0" distL="114300" distR="114300" simplePos="0" relativeHeight="251664384" behindDoc="1" locked="0" layoutInCell="1" allowOverlap="1" wp14:anchorId="3BCC56BF" wp14:editId="4DC227D4">
            <wp:simplePos x="0" y="0"/>
            <wp:positionH relativeFrom="margin">
              <wp:posOffset>2038350</wp:posOffset>
            </wp:positionH>
            <wp:positionV relativeFrom="paragraph">
              <wp:posOffset>10160</wp:posOffset>
            </wp:positionV>
            <wp:extent cx="1411973" cy="685800"/>
            <wp:effectExtent l="0" t="0" r="0" b="0"/>
            <wp:wrapNone/>
            <wp:docPr id="1003774186" name="Picture 2" descr="Home Page - Together for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age - Together for Hosp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3292" cy="6864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CB2BC14" wp14:editId="62578A39">
            <wp:simplePos x="0" y="0"/>
            <wp:positionH relativeFrom="column">
              <wp:posOffset>373482</wp:posOffset>
            </wp:positionH>
            <wp:positionV relativeFrom="paragraph">
              <wp:posOffset>10160</wp:posOffset>
            </wp:positionV>
            <wp:extent cx="788568" cy="702310"/>
            <wp:effectExtent l="0" t="0" r="0" b="2540"/>
            <wp:wrapNone/>
            <wp:docPr id="1837309271" name="Picture 1" descr="Health Service Executive (H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Service Executive (HS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9635" cy="70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69444" w14:textId="3150FC60" w:rsidR="00AA18D6" w:rsidRPr="00AA18D6" w:rsidRDefault="00AA18D6" w:rsidP="00AA18D6">
      <w:pPr>
        <w:rPr>
          <w:sz w:val="24"/>
        </w:rPr>
      </w:pPr>
    </w:p>
    <w:p w14:paraId="5C4C8463" w14:textId="1D2B2758" w:rsidR="00AA18D6" w:rsidRPr="00AA18D6" w:rsidRDefault="00AA18D6" w:rsidP="00AA18D6">
      <w:pPr>
        <w:rPr>
          <w:sz w:val="24"/>
        </w:rPr>
      </w:pPr>
    </w:p>
    <w:p w14:paraId="04036D42" w14:textId="54C898E2" w:rsidR="00AA18D6" w:rsidRPr="00AA18D6" w:rsidRDefault="00AA18D6" w:rsidP="00AA18D6">
      <w:pPr>
        <w:rPr>
          <w:sz w:val="24"/>
        </w:rPr>
      </w:pPr>
    </w:p>
    <w:p w14:paraId="04D67693" w14:textId="2B06AB9A" w:rsidR="0033325A" w:rsidRDefault="00ED2073" w:rsidP="00B76E23">
      <w:pPr>
        <w:ind w:right="556"/>
        <w:rPr>
          <w:b/>
          <w:sz w:val="28"/>
        </w:rPr>
      </w:pPr>
      <w:r>
        <w:rPr>
          <w:noProof/>
        </w:rPr>
        <w:drawing>
          <wp:anchor distT="0" distB="0" distL="114300" distR="114300" simplePos="0" relativeHeight="251660288" behindDoc="1" locked="0" layoutInCell="1" allowOverlap="1" wp14:anchorId="065A587F" wp14:editId="3A78DB5D">
            <wp:simplePos x="0" y="0"/>
            <wp:positionH relativeFrom="margin">
              <wp:posOffset>4352290</wp:posOffset>
            </wp:positionH>
            <wp:positionV relativeFrom="paragraph">
              <wp:posOffset>219710</wp:posOffset>
            </wp:positionV>
            <wp:extent cx="1127125" cy="550812"/>
            <wp:effectExtent l="0" t="0" r="0" b="1905"/>
            <wp:wrapNone/>
            <wp:docPr id="757907757" name="Picture 4" descr="HOME | Charities Institute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 Charities Institute Irela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7125" cy="5508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282AE3D" wp14:editId="641B2795">
            <wp:simplePos x="0" y="0"/>
            <wp:positionH relativeFrom="column">
              <wp:posOffset>2114550</wp:posOffset>
            </wp:positionH>
            <wp:positionV relativeFrom="paragraph">
              <wp:posOffset>180340</wp:posOffset>
            </wp:positionV>
            <wp:extent cx="1295400" cy="653332"/>
            <wp:effectExtent l="0" t="0" r="0" b="0"/>
            <wp:wrapNone/>
            <wp:docPr id="162573459" name="Picture 5" descr="Cork Chamb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k Chamber - YouTube"/>
                    <pic:cNvPicPr>
                      <a:picLocks noChangeAspect="1" noChangeArrowheads="1"/>
                    </pic:cNvPicPr>
                  </pic:nvPicPr>
                  <pic:blipFill rotWithShape="1">
                    <a:blip r:embed="rId15">
                      <a:extLst>
                        <a:ext uri="{28A0092B-C50C-407E-A947-70E740481C1C}">
                          <a14:useLocalDpi xmlns:a14="http://schemas.microsoft.com/office/drawing/2010/main" val="0"/>
                        </a:ext>
                      </a:extLst>
                    </a:blip>
                    <a:srcRect t="28696" b="20869"/>
                    <a:stretch/>
                  </pic:blipFill>
                  <pic:spPr bwMode="auto">
                    <a:xfrm>
                      <a:off x="0" y="0"/>
                      <a:ext cx="1295400" cy="6533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6EED449" wp14:editId="1032ADC8">
            <wp:simplePos x="0" y="0"/>
            <wp:positionH relativeFrom="column">
              <wp:posOffset>333375</wp:posOffset>
            </wp:positionH>
            <wp:positionV relativeFrom="paragraph">
              <wp:posOffset>218440</wp:posOffset>
            </wp:positionV>
            <wp:extent cx="1125141" cy="666750"/>
            <wp:effectExtent l="0" t="0" r="0" b="0"/>
            <wp:wrapNone/>
            <wp:docPr id="2070544858" name="Picture 6" descr="University College Cork — Reg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versity College Cork — Regional ..."/>
                    <pic:cNvPicPr>
                      <a:picLocks noChangeAspect="1" noChangeArrowheads="1"/>
                    </pic:cNvPicPr>
                  </pic:nvPicPr>
                  <pic:blipFill rotWithShape="1">
                    <a:blip r:embed="rId16">
                      <a:extLst>
                        <a:ext uri="{28A0092B-C50C-407E-A947-70E740481C1C}">
                          <a14:useLocalDpi xmlns:a14="http://schemas.microsoft.com/office/drawing/2010/main" val="0"/>
                        </a:ext>
                      </a:extLst>
                    </a:blip>
                    <a:srcRect t="21482" b="19259"/>
                    <a:stretch/>
                  </pic:blipFill>
                  <pic:spPr bwMode="auto">
                    <a:xfrm>
                      <a:off x="0" y="0"/>
                      <a:ext cx="1125141"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3325A" w:rsidSect="00AA18D6">
      <w:footerReference w:type="default" r:id="rId17"/>
      <w:pgSz w:w="11910" w:h="16840"/>
      <w:pgMar w:top="993"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93D49" w14:textId="77777777" w:rsidR="009F2FDE" w:rsidRDefault="009F2FDE" w:rsidP="009F2FDE">
      <w:r>
        <w:separator/>
      </w:r>
    </w:p>
  </w:endnote>
  <w:endnote w:type="continuationSeparator" w:id="0">
    <w:p w14:paraId="6CE361F9" w14:textId="77777777" w:rsidR="009F2FDE" w:rsidRDefault="009F2FDE" w:rsidP="009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Semibold">
    <w:altName w:val="Leelawadee UI"/>
    <w:panose1 w:val="00000000000000000000"/>
    <w:charset w:val="00"/>
    <w:family w:val="auto"/>
    <w:notTrueType/>
    <w:pitch w:val="default"/>
    <w:sig w:usb0="03839800" w:usb1="00000375" w:usb2="00000001" w:usb3="00000001" w:csb0="00000000" w:csb1="31281673"/>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548092"/>
      <w:docPartObj>
        <w:docPartGallery w:val="Page Numbers (Bottom of Page)"/>
        <w:docPartUnique/>
      </w:docPartObj>
    </w:sdtPr>
    <w:sdtEndPr/>
    <w:sdtContent>
      <w:p w14:paraId="4E2CC8F6" w14:textId="0D732EA2" w:rsidR="009F2FDE" w:rsidRDefault="009F2FDE">
        <w:pPr>
          <w:pStyle w:val="Footer"/>
          <w:jc w:val="center"/>
        </w:pPr>
        <w:r>
          <w:fldChar w:fldCharType="begin"/>
        </w:r>
        <w:r>
          <w:instrText>PAGE   \* MERGEFORMAT</w:instrText>
        </w:r>
        <w:r>
          <w:fldChar w:fldCharType="separate"/>
        </w:r>
        <w:r>
          <w:rPr>
            <w:lang w:val="en-GB"/>
          </w:rPr>
          <w:t>2</w:t>
        </w:r>
        <w:r>
          <w:fldChar w:fldCharType="end"/>
        </w:r>
      </w:p>
    </w:sdtContent>
  </w:sdt>
  <w:p w14:paraId="7361307E" w14:textId="77777777" w:rsidR="009F2FDE" w:rsidRDefault="009F2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3B4ED" w14:textId="77777777" w:rsidR="009F2FDE" w:rsidRDefault="009F2FDE" w:rsidP="009F2FDE">
      <w:r>
        <w:separator/>
      </w:r>
    </w:p>
  </w:footnote>
  <w:footnote w:type="continuationSeparator" w:id="0">
    <w:p w14:paraId="5B93459E" w14:textId="77777777" w:rsidR="009F2FDE" w:rsidRDefault="009F2FDE" w:rsidP="009F2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6F2"/>
    <w:multiLevelType w:val="multilevel"/>
    <w:tmpl w:val="99D612A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6F6116"/>
    <w:multiLevelType w:val="multilevel"/>
    <w:tmpl w:val="96966DE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0A11BC2"/>
    <w:multiLevelType w:val="multilevel"/>
    <w:tmpl w:val="19981F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A015F5A"/>
    <w:multiLevelType w:val="multilevel"/>
    <w:tmpl w:val="7CCE81D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23C87270"/>
    <w:multiLevelType w:val="hybridMultilevel"/>
    <w:tmpl w:val="0694DD0E"/>
    <w:lvl w:ilvl="0" w:tplc="F83A49DA">
      <w:numFmt w:val="bullet"/>
      <w:lvlText w:val=""/>
      <w:lvlJc w:val="left"/>
      <w:pPr>
        <w:ind w:left="1274" w:hanging="360"/>
      </w:pPr>
      <w:rPr>
        <w:rFonts w:ascii="Symbol" w:eastAsia="Symbol" w:hAnsi="Symbol" w:cs="Symbol" w:hint="default"/>
        <w:b w:val="0"/>
        <w:bCs w:val="0"/>
        <w:i w:val="0"/>
        <w:iCs w:val="0"/>
        <w:color w:val="1F1F1F"/>
        <w:spacing w:val="0"/>
        <w:w w:val="99"/>
        <w:sz w:val="20"/>
        <w:szCs w:val="20"/>
        <w:lang w:val="en-US" w:eastAsia="en-US" w:bidi="ar-SA"/>
      </w:rPr>
    </w:lvl>
    <w:lvl w:ilvl="1" w:tplc="8BB4E6AC">
      <w:start w:val="1"/>
      <w:numFmt w:val="decimal"/>
      <w:lvlText w:val="%2."/>
      <w:lvlJc w:val="left"/>
      <w:pPr>
        <w:ind w:left="1581" w:hanging="360"/>
      </w:pPr>
      <w:rPr>
        <w:rFonts w:ascii="Calibri" w:eastAsia="Calibri" w:hAnsi="Calibri" w:cs="Calibri" w:hint="default"/>
        <w:b w:val="0"/>
        <w:bCs w:val="0"/>
        <w:i w:val="0"/>
        <w:iCs w:val="0"/>
        <w:color w:val="1F1F1F"/>
        <w:spacing w:val="0"/>
        <w:w w:val="100"/>
        <w:sz w:val="24"/>
        <w:szCs w:val="24"/>
        <w:lang w:val="en-US" w:eastAsia="en-US" w:bidi="ar-SA"/>
      </w:rPr>
    </w:lvl>
    <w:lvl w:ilvl="2" w:tplc="003AF736">
      <w:numFmt w:val="bullet"/>
      <w:lvlText w:val="•"/>
      <w:lvlJc w:val="left"/>
      <w:pPr>
        <w:ind w:left="2727" w:hanging="360"/>
      </w:pPr>
      <w:rPr>
        <w:rFonts w:hint="default"/>
        <w:lang w:val="en-US" w:eastAsia="en-US" w:bidi="ar-SA"/>
      </w:rPr>
    </w:lvl>
    <w:lvl w:ilvl="3" w:tplc="65EA2226">
      <w:numFmt w:val="bullet"/>
      <w:lvlText w:val="•"/>
      <w:lvlJc w:val="left"/>
      <w:pPr>
        <w:ind w:left="3874" w:hanging="360"/>
      </w:pPr>
      <w:rPr>
        <w:rFonts w:hint="default"/>
        <w:lang w:val="en-US" w:eastAsia="en-US" w:bidi="ar-SA"/>
      </w:rPr>
    </w:lvl>
    <w:lvl w:ilvl="4" w:tplc="6472C642">
      <w:numFmt w:val="bullet"/>
      <w:lvlText w:val="•"/>
      <w:lvlJc w:val="left"/>
      <w:pPr>
        <w:ind w:left="5022" w:hanging="360"/>
      </w:pPr>
      <w:rPr>
        <w:rFonts w:hint="default"/>
        <w:lang w:val="en-US" w:eastAsia="en-US" w:bidi="ar-SA"/>
      </w:rPr>
    </w:lvl>
    <w:lvl w:ilvl="5" w:tplc="541AD49E">
      <w:numFmt w:val="bullet"/>
      <w:lvlText w:val="•"/>
      <w:lvlJc w:val="left"/>
      <w:pPr>
        <w:ind w:left="6169" w:hanging="360"/>
      </w:pPr>
      <w:rPr>
        <w:rFonts w:hint="default"/>
        <w:lang w:val="en-US" w:eastAsia="en-US" w:bidi="ar-SA"/>
      </w:rPr>
    </w:lvl>
    <w:lvl w:ilvl="6" w:tplc="51A24CD8">
      <w:numFmt w:val="bullet"/>
      <w:lvlText w:val="•"/>
      <w:lvlJc w:val="left"/>
      <w:pPr>
        <w:ind w:left="7316" w:hanging="360"/>
      </w:pPr>
      <w:rPr>
        <w:rFonts w:hint="default"/>
        <w:lang w:val="en-US" w:eastAsia="en-US" w:bidi="ar-SA"/>
      </w:rPr>
    </w:lvl>
    <w:lvl w:ilvl="7" w:tplc="8640A486">
      <w:numFmt w:val="bullet"/>
      <w:lvlText w:val="•"/>
      <w:lvlJc w:val="left"/>
      <w:pPr>
        <w:ind w:left="8464" w:hanging="360"/>
      </w:pPr>
      <w:rPr>
        <w:rFonts w:hint="default"/>
        <w:lang w:val="en-US" w:eastAsia="en-US" w:bidi="ar-SA"/>
      </w:rPr>
    </w:lvl>
    <w:lvl w:ilvl="8" w:tplc="1DC440E0">
      <w:numFmt w:val="bullet"/>
      <w:lvlText w:val="•"/>
      <w:lvlJc w:val="left"/>
      <w:pPr>
        <w:ind w:left="9611" w:hanging="360"/>
      </w:pPr>
      <w:rPr>
        <w:rFonts w:hint="default"/>
        <w:lang w:val="en-US" w:eastAsia="en-US" w:bidi="ar-SA"/>
      </w:rPr>
    </w:lvl>
  </w:abstractNum>
  <w:abstractNum w:abstractNumId="5" w15:restartNumberingAfterBreak="0">
    <w:nsid w:val="2AF4004C"/>
    <w:multiLevelType w:val="hybridMultilevel"/>
    <w:tmpl w:val="22903B68"/>
    <w:lvl w:ilvl="0" w:tplc="1809000F">
      <w:start w:val="1"/>
      <w:numFmt w:val="decimal"/>
      <w:lvlText w:val="%1."/>
      <w:lvlJc w:val="left"/>
      <w:pPr>
        <w:ind w:left="36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873063"/>
    <w:multiLevelType w:val="hybridMultilevel"/>
    <w:tmpl w:val="E25A1BDE"/>
    <w:lvl w:ilvl="0" w:tplc="549A168C">
      <w:numFmt w:val="bullet"/>
      <w:lvlText w:val=""/>
      <w:lvlJc w:val="left"/>
      <w:pPr>
        <w:ind w:left="1135" w:hanging="360"/>
      </w:pPr>
      <w:rPr>
        <w:rFonts w:ascii="Symbol" w:eastAsia="Symbol" w:hAnsi="Symbol" w:cs="Symbol" w:hint="default"/>
        <w:b w:val="0"/>
        <w:bCs w:val="0"/>
        <w:i w:val="0"/>
        <w:iCs w:val="0"/>
        <w:color w:val="1F1F1F"/>
        <w:spacing w:val="0"/>
        <w:w w:val="99"/>
        <w:sz w:val="20"/>
        <w:szCs w:val="20"/>
        <w:lang w:val="en-US" w:eastAsia="en-US" w:bidi="ar-SA"/>
      </w:rPr>
    </w:lvl>
    <w:lvl w:ilvl="1" w:tplc="8162F458">
      <w:numFmt w:val="bullet"/>
      <w:lvlText w:val="•"/>
      <w:lvlJc w:val="left"/>
      <w:pPr>
        <w:ind w:left="2216" w:hanging="360"/>
      </w:pPr>
      <w:rPr>
        <w:rFonts w:hint="default"/>
        <w:lang w:val="en-US" w:eastAsia="en-US" w:bidi="ar-SA"/>
      </w:rPr>
    </w:lvl>
    <w:lvl w:ilvl="2" w:tplc="7CCC1BC4">
      <w:numFmt w:val="bullet"/>
      <w:lvlText w:val="•"/>
      <w:lvlJc w:val="left"/>
      <w:pPr>
        <w:ind w:left="3293" w:hanging="360"/>
      </w:pPr>
      <w:rPr>
        <w:rFonts w:hint="default"/>
        <w:lang w:val="en-US" w:eastAsia="en-US" w:bidi="ar-SA"/>
      </w:rPr>
    </w:lvl>
    <w:lvl w:ilvl="3" w:tplc="9EC6B3EC">
      <w:numFmt w:val="bullet"/>
      <w:lvlText w:val="•"/>
      <w:lvlJc w:val="left"/>
      <w:pPr>
        <w:ind w:left="4369" w:hanging="360"/>
      </w:pPr>
      <w:rPr>
        <w:rFonts w:hint="default"/>
        <w:lang w:val="en-US" w:eastAsia="en-US" w:bidi="ar-SA"/>
      </w:rPr>
    </w:lvl>
    <w:lvl w:ilvl="4" w:tplc="E49E1428">
      <w:numFmt w:val="bullet"/>
      <w:lvlText w:val="•"/>
      <w:lvlJc w:val="left"/>
      <w:pPr>
        <w:ind w:left="5446" w:hanging="360"/>
      </w:pPr>
      <w:rPr>
        <w:rFonts w:hint="default"/>
        <w:lang w:val="en-US" w:eastAsia="en-US" w:bidi="ar-SA"/>
      </w:rPr>
    </w:lvl>
    <w:lvl w:ilvl="5" w:tplc="80968742">
      <w:numFmt w:val="bullet"/>
      <w:lvlText w:val="•"/>
      <w:lvlJc w:val="left"/>
      <w:pPr>
        <w:ind w:left="6523" w:hanging="360"/>
      </w:pPr>
      <w:rPr>
        <w:rFonts w:hint="default"/>
        <w:lang w:val="en-US" w:eastAsia="en-US" w:bidi="ar-SA"/>
      </w:rPr>
    </w:lvl>
    <w:lvl w:ilvl="6" w:tplc="79764356">
      <w:numFmt w:val="bullet"/>
      <w:lvlText w:val="•"/>
      <w:lvlJc w:val="left"/>
      <w:pPr>
        <w:ind w:left="7599" w:hanging="360"/>
      </w:pPr>
      <w:rPr>
        <w:rFonts w:hint="default"/>
        <w:lang w:val="en-US" w:eastAsia="en-US" w:bidi="ar-SA"/>
      </w:rPr>
    </w:lvl>
    <w:lvl w:ilvl="7" w:tplc="BE5EB0E6">
      <w:numFmt w:val="bullet"/>
      <w:lvlText w:val="•"/>
      <w:lvlJc w:val="left"/>
      <w:pPr>
        <w:ind w:left="8676" w:hanging="360"/>
      </w:pPr>
      <w:rPr>
        <w:rFonts w:hint="default"/>
        <w:lang w:val="en-US" w:eastAsia="en-US" w:bidi="ar-SA"/>
      </w:rPr>
    </w:lvl>
    <w:lvl w:ilvl="8" w:tplc="E7F2BBF6">
      <w:numFmt w:val="bullet"/>
      <w:lvlText w:val="•"/>
      <w:lvlJc w:val="left"/>
      <w:pPr>
        <w:ind w:left="9753" w:hanging="360"/>
      </w:pPr>
      <w:rPr>
        <w:rFonts w:hint="default"/>
        <w:lang w:val="en-US" w:eastAsia="en-US" w:bidi="ar-SA"/>
      </w:rPr>
    </w:lvl>
  </w:abstractNum>
  <w:abstractNum w:abstractNumId="7" w15:restartNumberingAfterBreak="0">
    <w:nsid w:val="3CA7075F"/>
    <w:multiLevelType w:val="multilevel"/>
    <w:tmpl w:val="D50A8B3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42F74307"/>
    <w:multiLevelType w:val="multilevel"/>
    <w:tmpl w:val="2B1A0C4C"/>
    <w:lvl w:ilvl="0">
      <w:start w:val="1"/>
      <w:numFmt w:val="decimal"/>
      <w:lvlText w:val="%1."/>
      <w:lvlJc w:val="left"/>
      <w:pPr>
        <w:tabs>
          <w:tab w:val="num" w:pos="0"/>
        </w:tabs>
        <w:ind w:left="720" w:hanging="360"/>
      </w:pPr>
    </w:lvl>
    <w:lvl w:ilvl="1">
      <w:start w:val="1"/>
      <w:numFmt w:val="decimal"/>
      <w:isLgl/>
      <w:lvlText w:val="%1.%2"/>
      <w:lvlJc w:val="left"/>
      <w:pPr>
        <w:tabs>
          <w:tab w:val="num" w:pos="0"/>
        </w:tabs>
        <w:ind w:left="36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9" w15:restartNumberingAfterBreak="0">
    <w:nsid w:val="46351256"/>
    <w:multiLevelType w:val="multilevel"/>
    <w:tmpl w:val="642C5E40"/>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58AF781A"/>
    <w:multiLevelType w:val="multilevel"/>
    <w:tmpl w:val="B254E9B8"/>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65426288"/>
    <w:multiLevelType w:val="multilevel"/>
    <w:tmpl w:val="A1AEFD5C"/>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76E86A0A"/>
    <w:multiLevelType w:val="multilevel"/>
    <w:tmpl w:val="C49C0B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77275E10"/>
    <w:multiLevelType w:val="hybridMultilevel"/>
    <w:tmpl w:val="947E42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D0C1BF7"/>
    <w:multiLevelType w:val="multilevel"/>
    <w:tmpl w:val="2DA8DDDC"/>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592669013">
    <w:abstractNumId w:val="6"/>
  </w:num>
  <w:num w:numId="2" w16cid:durableId="180751751">
    <w:abstractNumId w:val="4"/>
  </w:num>
  <w:num w:numId="3" w16cid:durableId="1079837403">
    <w:abstractNumId w:val="8"/>
  </w:num>
  <w:num w:numId="4" w16cid:durableId="1016225975">
    <w:abstractNumId w:val="2"/>
  </w:num>
  <w:num w:numId="5" w16cid:durableId="711198220">
    <w:abstractNumId w:val="12"/>
  </w:num>
  <w:num w:numId="6" w16cid:durableId="1431047333">
    <w:abstractNumId w:val="9"/>
  </w:num>
  <w:num w:numId="7" w16cid:durableId="2042586478">
    <w:abstractNumId w:val="1"/>
  </w:num>
  <w:num w:numId="8" w16cid:durableId="829062395">
    <w:abstractNumId w:val="14"/>
  </w:num>
  <w:num w:numId="9" w16cid:durableId="240916877">
    <w:abstractNumId w:val="0"/>
  </w:num>
  <w:num w:numId="10" w16cid:durableId="103158882">
    <w:abstractNumId w:val="11"/>
  </w:num>
  <w:num w:numId="11" w16cid:durableId="1507019354">
    <w:abstractNumId w:val="3"/>
  </w:num>
  <w:num w:numId="12" w16cid:durableId="242498558">
    <w:abstractNumId w:val="7"/>
  </w:num>
  <w:num w:numId="13" w16cid:durableId="1987540114">
    <w:abstractNumId w:val="10"/>
  </w:num>
  <w:num w:numId="14" w16cid:durableId="1087963171">
    <w:abstractNumId w:val="13"/>
  </w:num>
  <w:num w:numId="15" w16cid:durableId="1389450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5A"/>
    <w:rsid w:val="00131C6D"/>
    <w:rsid w:val="002843B9"/>
    <w:rsid w:val="002D09CE"/>
    <w:rsid w:val="0032421F"/>
    <w:rsid w:val="0033325A"/>
    <w:rsid w:val="003617EC"/>
    <w:rsid w:val="00513A03"/>
    <w:rsid w:val="006154CF"/>
    <w:rsid w:val="006A5AE8"/>
    <w:rsid w:val="00745F38"/>
    <w:rsid w:val="00866238"/>
    <w:rsid w:val="00890AC2"/>
    <w:rsid w:val="009F2FDE"/>
    <w:rsid w:val="00AA18D6"/>
    <w:rsid w:val="00B76E23"/>
    <w:rsid w:val="00DE67B5"/>
    <w:rsid w:val="00ED20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7662"/>
  <w15:docId w15:val="{179F573D-6F29-45E4-8E31-8753BBBE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274" w:hanging="360"/>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qFormat/>
    <w:rsid w:val="00DE67B5"/>
    <w:rPr>
      <w:rFonts w:ascii="Calibri" w:eastAsia="Calibri" w:hAnsi="Calibri" w:cs="Calibri"/>
    </w:rPr>
  </w:style>
  <w:style w:type="table" w:styleId="TableGrid">
    <w:name w:val="Table Grid"/>
    <w:basedOn w:val="TableNormal"/>
    <w:uiPriority w:val="39"/>
    <w:rsid w:val="00513A03"/>
    <w:pPr>
      <w:widowControl/>
      <w:suppressAutoHyphens/>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FDE"/>
    <w:pPr>
      <w:widowControl/>
      <w:autoSpaceDE/>
      <w:autoSpaceDN/>
    </w:pPr>
    <w:rPr>
      <w:rFonts w:ascii="Calibri" w:eastAsia="Calibri" w:hAnsi="Calibri" w:cs="Calibri"/>
    </w:rPr>
  </w:style>
  <w:style w:type="paragraph" w:styleId="Header">
    <w:name w:val="header"/>
    <w:basedOn w:val="Normal"/>
    <w:link w:val="HeaderChar"/>
    <w:uiPriority w:val="99"/>
    <w:unhideWhenUsed/>
    <w:rsid w:val="009F2FDE"/>
    <w:pPr>
      <w:tabs>
        <w:tab w:val="center" w:pos="4513"/>
        <w:tab w:val="right" w:pos="9026"/>
      </w:tabs>
    </w:pPr>
  </w:style>
  <w:style w:type="character" w:customStyle="1" w:styleId="HeaderChar">
    <w:name w:val="Header Char"/>
    <w:basedOn w:val="DefaultParagraphFont"/>
    <w:link w:val="Header"/>
    <w:uiPriority w:val="99"/>
    <w:rsid w:val="009F2FDE"/>
    <w:rPr>
      <w:rFonts w:ascii="Calibri" w:eastAsia="Calibri" w:hAnsi="Calibri" w:cs="Calibri"/>
    </w:rPr>
  </w:style>
  <w:style w:type="paragraph" w:styleId="Footer">
    <w:name w:val="footer"/>
    <w:basedOn w:val="Normal"/>
    <w:link w:val="FooterChar"/>
    <w:uiPriority w:val="99"/>
    <w:unhideWhenUsed/>
    <w:rsid w:val="009F2FDE"/>
    <w:pPr>
      <w:tabs>
        <w:tab w:val="center" w:pos="4513"/>
        <w:tab w:val="right" w:pos="9026"/>
      </w:tabs>
    </w:pPr>
  </w:style>
  <w:style w:type="character" w:customStyle="1" w:styleId="FooterChar">
    <w:name w:val="Footer Char"/>
    <w:basedOn w:val="DefaultParagraphFont"/>
    <w:link w:val="Footer"/>
    <w:uiPriority w:val="99"/>
    <w:rsid w:val="009F2FD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db9b7d-c338-4f1b-8f25-29bd89991e4f">
      <Terms xmlns="http://schemas.microsoft.com/office/infopath/2007/PartnerControls"/>
    </lcf76f155ced4ddcb4097134ff3c332f>
    <TaxCatchAll xmlns="bbc79129-da0d-42d9-bcf4-dc45aacd63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F089CFFB20B4ABAB355BDDAAA4AC0" ma:contentTypeVersion="13" ma:contentTypeDescription="Create a new document." ma:contentTypeScope="" ma:versionID="25cccde4e5290c76c87c62c9a5c2bfc6">
  <xsd:schema xmlns:xsd="http://www.w3.org/2001/XMLSchema" xmlns:xs="http://www.w3.org/2001/XMLSchema" xmlns:p="http://schemas.microsoft.com/office/2006/metadata/properties" xmlns:ns2="d6db9b7d-c338-4f1b-8f25-29bd89991e4f" xmlns:ns3="bbc79129-da0d-42d9-bcf4-dc45aacd635d" targetNamespace="http://schemas.microsoft.com/office/2006/metadata/properties" ma:root="true" ma:fieldsID="ace62bccf8c1ce833a9439d1b1c59d65" ns2:_="" ns3:_="">
    <xsd:import namespace="d6db9b7d-c338-4f1b-8f25-29bd89991e4f"/>
    <xsd:import namespace="bbc79129-da0d-42d9-bcf4-dc45aacd63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b9b7d-c338-4f1b-8f25-29bd89991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c50298-f3ef-43aa-8760-ca3833e996c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79129-da0d-42d9-bcf4-dc45aacd63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d98163-4cac-4b81-842e-dadd9837a6e8}" ma:internalName="TaxCatchAll" ma:showField="CatchAllData" ma:web="bbc79129-da0d-42d9-bcf4-dc45aacd6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00505-575F-4D53-9195-9C48AEE20C73}">
  <ds:schemaRefs>
    <ds:schemaRef ds:uri="http://schemas.microsoft.com/office/2006/metadata/properties"/>
    <ds:schemaRef ds:uri="http://schemas.microsoft.com/office/infopath/2007/PartnerControls"/>
    <ds:schemaRef ds:uri="d6db9b7d-c338-4f1b-8f25-29bd89991e4f"/>
    <ds:schemaRef ds:uri="bbc79129-da0d-42d9-bcf4-dc45aacd635d"/>
  </ds:schemaRefs>
</ds:datastoreItem>
</file>

<file path=customXml/itemProps2.xml><?xml version="1.0" encoding="utf-8"?>
<ds:datastoreItem xmlns:ds="http://schemas.openxmlformats.org/officeDocument/2006/customXml" ds:itemID="{D370632B-2822-4941-9519-59D2B3B95354}">
  <ds:schemaRefs>
    <ds:schemaRef ds:uri="http://schemas.microsoft.com/sharepoint/v3/contenttype/forms"/>
  </ds:schemaRefs>
</ds:datastoreItem>
</file>

<file path=customXml/itemProps3.xml><?xml version="1.0" encoding="utf-8"?>
<ds:datastoreItem xmlns:ds="http://schemas.openxmlformats.org/officeDocument/2006/customXml" ds:itemID="{C2C712FE-0CAC-4EAB-87C6-E577A7629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b9b7d-c338-4f1b-8f25-29bd89991e4f"/>
    <ds:schemaRef ds:uri="bbc79129-da0d-42d9-bcf4-dc45aacd6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1364</Words>
  <Characters>7625</Characters>
  <Application>Microsoft Office Word</Application>
  <DocSecurity>0</DocSecurity>
  <Lines>177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McCloskey</dc:creator>
  <dc:description/>
  <cp:lastModifiedBy>Gillian Curran</cp:lastModifiedBy>
  <cp:revision>4</cp:revision>
  <dcterms:created xsi:type="dcterms:W3CDTF">2025-05-20T11:34:00Z</dcterms:created>
  <dcterms:modified xsi:type="dcterms:W3CDTF">2025-05-20T14:00:00Z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Acrobat PDFMaker 24 for Word</vt:lpwstr>
  </property>
  <property fmtid="{D5CDD505-2E9C-101B-9397-08002B2CF9AE}" pid="4" name="LastSaved">
    <vt:filetime>2025-03-31T00:00:00Z</vt:filetime>
  </property>
  <property fmtid="{D5CDD505-2E9C-101B-9397-08002B2CF9AE}" pid="5" name="Producer">
    <vt:lpwstr>Adobe PDF Library 24.2.23</vt:lpwstr>
  </property>
  <property fmtid="{D5CDD505-2E9C-101B-9397-08002B2CF9AE}" pid="6" name="SourceModified">
    <vt:lpwstr/>
  </property>
  <property fmtid="{D5CDD505-2E9C-101B-9397-08002B2CF9AE}" pid="7" name="ContentTypeId">
    <vt:lpwstr>0x0101002F6F089CFFB20B4ABAB355BDDAAA4AC0</vt:lpwstr>
  </property>
  <property fmtid="{D5CDD505-2E9C-101B-9397-08002B2CF9AE}" pid="8" name="MediaServiceImageTags">
    <vt:lpwstr/>
  </property>
</Properties>
</file>